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76818" w14:textId="75364E97" w:rsidR="00B53DEA" w:rsidRDefault="00E913F3" w:rsidP="123ED4F6">
      <w:pPr>
        <w:widowControl/>
        <w:jc w:val="center"/>
        <w:rPr>
          <w:rFonts w:ascii="Garamond" w:eastAsia="Garamond" w:hAnsi="Garamond" w:cs="Garamond"/>
          <w:b/>
          <w:bCs/>
        </w:rPr>
      </w:pPr>
      <w:r w:rsidRPr="123ED4F6">
        <w:rPr>
          <w:rFonts w:ascii="Garamond" w:eastAsia="Garamond" w:hAnsi="Garamond" w:cs="Garamond"/>
          <w:b/>
          <w:bCs/>
        </w:rPr>
        <w:t xml:space="preserve"> RFP</w:t>
      </w:r>
      <w:r w:rsidR="51360E6B" w:rsidRPr="123ED4F6">
        <w:rPr>
          <w:rFonts w:ascii="Garamond" w:eastAsia="Garamond" w:hAnsi="Garamond" w:cs="Garamond"/>
          <w:b/>
          <w:bCs/>
        </w:rPr>
        <w:t xml:space="preserve"> 23-74658</w:t>
      </w:r>
    </w:p>
    <w:p w14:paraId="729135FC" w14:textId="77777777" w:rsidR="00B53DEA" w:rsidRDefault="00E913F3">
      <w:pPr>
        <w:widowControl/>
        <w:jc w:val="center"/>
        <w:rPr>
          <w:rFonts w:ascii="Garamond" w:eastAsia="Garamond" w:hAnsi="Garamond" w:cs="Garamond"/>
          <w:b/>
          <w:sz w:val="20"/>
          <w:szCs w:val="20"/>
        </w:rPr>
      </w:pPr>
      <w:r>
        <w:rPr>
          <w:rFonts w:ascii="Garamond" w:eastAsia="Garamond" w:hAnsi="Garamond" w:cs="Garamond"/>
          <w:b/>
          <w:sz w:val="20"/>
          <w:szCs w:val="20"/>
        </w:rPr>
        <w:t>ATTACHMENT L</w:t>
      </w:r>
    </w:p>
    <w:p w14:paraId="47D0F983" w14:textId="77777777" w:rsidR="00B53DEA" w:rsidRDefault="00E913F3">
      <w:pPr>
        <w:widowControl/>
        <w:jc w:val="center"/>
        <w:rPr>
          <w:rFonts w:ascii="Garamond" w:eastAsia="Garamond" w:hAnsi="Garamond" w:cs="Garamond"/>
          <w:b/>
          <w:sz w:val="20"/>
          <w:szCs w:val="20"/>
        </w:rPr>
      </w:pPr>
      <w:r>
        <w:rPr>
          <w:rFonts w:ascii="Garamond" w:eastAsia="Garamond" w:hAnsi="Garamond" w:cs="Garamond"/>
          <w:b/>
          <w:sz w:val="20"/>
          <w:szCs w:val="20"/>
        </w:rPr>
        <w:t>SERVICE LEVEL AGREEMENTS (SLA)</w:t>
      </w:r>
    </w:p>
    <w:p w14:paraId="3700DEE6" w14:textId="77777777" w:rsidR="00B53DEA" w:rsidRDefault="00B53DEA">
      <w:pPr>
        <w:widowControl/>
        <w:jc w:val="center"/>
        <w:rPr>
          <w:rFonts w:ascii="Garamond" w:eastAsia="Garamond" w:hAnsi="Garamond" w:cs="Garamond"/>
          <w:b/>
          <w:sz w:val="20"/>
          <w:szCs w:val="20"/>
        </w:rPr>
      </w:pPr>
    </w:p>
    <w:p w14:paraId="3773DBE5" w14:textId="7ECEFF3F"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Please indicate your ability and willingness to meet each minimum Service Level Agreement.  If you would like to offer an enhancement to the Service Level Agreement, please describe the offered enhancement.  Respondents may also offer additional Service Level Agreements not included in the list of minimums for the State’s consideration.  This list may be modified to include commitments agreed to during the course of the RFP process and will be updated during contract finalization.  The Contractor will be required to track and report performance related to each Service Level Agreement. Each Service Level Agreement will have a corresponding liquidated damage, which will be determined prior to contract finalization. </w:t>
      </w:r>
      <w:r w:rsidR="293683E1" w:rsidRPr="123ED4F6">
        <w:rPr>
          <w:rFonts w:ascii="Garamond" w:eastAsia="Garamond" w:hAnsi="Garamond" w:cs="Garamond"/>
          <w:sz w:val="20"/>
          <w:szCs w:val="20"/>
        </w:rPr>
        <w:t xml:space="preserve">Liquidated damages will be capped at 10% of the total Baseline Services cost. If assessed, the Contractor may be given the opportunity (at the State’s sole discretion) to earn back the liquidated damage amount. If the State chooses to allow the Contractor to earn back the liquidated damage, the </w:t>
      </w:r>
      <w:r w:rsidR="4601C39E" w:rsidRPr="123ED4F6">
        <w:rPr>
          <w:rFonts w:ascii="Garamond" w:eastAsia="Garamond" w:hAnsi="Garamond" w:cs="Garamond"/>
          <w:sz w:val="20"/>
          <w:szCs w:val="20"/>
        </w:rPr>
        <w:t>C</w:t>
      </w:r>
      <w:r w:rsidR="293683E1" w:rsidRPr="123ED4F6">
        <w:rPr>
          <w:rFonts w:ascii="Garamond" w:eastAsia="Garamond" w:hAnsi="Garamond" w:cs="Garamond"/>
          <w:sz w:val="20"/>
          <w:szCs w:val="20"/>
        </w:rPr>
        <w:t>ontractor must meet th</w:t>
      </w:r>
      <w:r w:rsidR="3E6120FC" w:rsidRPr="123ED4F6">
        <w:rPr>
          <w:rFonts w:ascii="Garamond" w:eastAsia="Garamond" w:hAnsi="Garamond" w:cs="Garamond"/>
          <w:sz w:val="20"/>
          <w:szCs w:val="20"/>
        </w:rPr>
        <w:t>e m</w:t>
      </w:r>
      <w:r w:rsidR="293683E1" w:rsidRPr="123ED4F6">
        <w:rPr>
          <w:rFonts w:ascii="Garamond" w:eastAsia="Garamond" w:hAnsi="Garamond" w:cs="Garamond"/>
          <w:sz w:val="20"/>
          <w:szCs w:val="20"/>
        </w:rPr>
        <w:t>e</w:t>
      </w:r>
      <w:r w:rsidR="739EEEA2" w:rsidRPr="123ED4F6">
        <w:rPr>
          <w:rFonts w:ascii="Garamond" w:eastAsia="Garamond" w:hAnsi="Garamond" w:cs="Garamond"/>
          <w:sz w:val="20"/>
          <w:szCs w:val="20"/>
        </w:rPr>
        <w:t>tric in the following two reporting periods in order to earn back the liquidated damage.</w:t>
      </w:r>
      <w:r w:rsidR="293683E1" w:rsidRPr="123ED4F6">
        <w:rPr>
          <w:rFonts w:ascii="Garamond" w:eastAsia="Garamond" w:hAnsi="Garamond" w:cs="Garamond"/>
          <w:sz w:val="20"/>
          <w:szCs w:val="20"/>
        </w:rPr>
        <w:t xml:space="preserve"> </w:t>
      </w:r>
      <w:r w:rsidRPr="123ED4F6">
        <w:rPr>
          <w:rFonts w:ascii="Garamond" w:eastAsia="Garamond" w:hAnsi="Garamond" w:cs="Garamond"/>
          <w:sz w:val="20"/>
          <w:szCs w:val="20"/>
        </w:rPr>
        <w:t xml:space="preserve">If a space is left blank, you will be implying that your company cannot meet the minimum Service Level Agreement(s), and your proposal will be evaluated accordingly. </w:t>
      </w:r>
    </w:p>
    <w:p w14:paraId="72C7BED3" w14:textId="77777777" w:rsidR="00B53DEA" w:rsidRDefault="00B53DEA" w:rsidP="123ED4F6">
      <w:pPr>
        <w:widowControl/>
        <w:rPr>
          <w:rFonts w:ascii="Garamond" w:eastAsia="Garamond" w:hAnsi="Garamond" w:cs="Garamond"/>
          <w:sz w:val="20"/>
          <w:szCs w:val="20"/>
        </w:rPr>
      </w:pPr>
    </w:p>
    <w:tbl>
      <w:tblPr>
        <w:tblW w:w="14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65"/>
        <w:gridCol w:w="1260"/>
        <w:gridCol w:w="1890"/>
        <w:gridCol w:w="3420"/>
        <w:gridCol w:w="2250"/>
        <w:gridCol w:w="1530"/>
        <w:gridCol w:w="1170"/>
        <w:gridCol w:w="810"/>
        <w:gridCol w:w="1800"/>
      </w:tblGrid>
      <w:tr w:rsidR="00B53DEA" w14:paraId="7698A92E" w14:textId="77777777" w:rsidTr="123ED4F6">
        <w:trPr>
          <w:trHeight w:val="542"/>
        </w:trPr>
        <w:tc>
          <w:tcPr>
            <w:tcW w:w="265" w:type="dxa"/>
            <w:shd w:val="clear" w:color="auto" w:fill="C0C0C0"/>
            <w:vAlign w:val="center"/>
          </w:tcPr>
          <w:p w14:paraId="73F08E4C"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w:t>
            </w:r>
          </w:p>
        </w:tc>
        <w:tc>
          <w:tcPr>
            <w:tcW w:w="1260" w:type="dxa"/>
            <w:shd w:val="clear" w:color="auto" w:fill="C0C0C0"/>
            <w:vAlign w:val="center"/>
          </w:tcPr>
          <w:p w14:paraId="6E8FFE4E"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SLA</w:t>
            </w:r>
          </w:p>
        </w:tc>
        <w:tc>
          <w:tcPr>
            <w:tcW w:w="1890" w:type="dxa"/>
            <w:shd w:val="clear" w:color="auto" w:fill="C0C0C0"/>
            <w:vAlign w:val="center"/>
          </w:tcPr>
          <w:p w14:paraId="251BEA8D"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Service Level Agreement Description</w:t>
            </w:r>
          </w:p>
        </w:tc>
        <w:tc>
          <w:tcPr>
            <w:tcW w:w="3420" w:type="dxa"/>
            <w:shd w:val="clear" w:color="auto" w:fill="C0C0C0"/>
            <w:vAlign w:val="center"/>
          </w:tcPr>
          <w:p w14:paraId="3B01F293"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Minimum Service Level</w:t>
            </w:r>
          </w:p>
        </w:tc>
        <w:tc>
          <w:tcPr>
            <w:tcW w:w="2250" w:type="dxa"/>
            <w:shd w:val="clear" w:color="auto" w:fill="C0C0C0"/>
            <w:vAlign w:val="center"/>
          </w:tcPr>
          <w:p w14:paraId="54C3B297"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Algorithm</w:t>
            </w:r>
          </w:p>
        </w:tc>
        <w:tc>
          <w:tcPr>
            <w:tcW w:w="1530" w:type="dxa"/>
            <w:shd w:val="clear" w:color="auto" w:fill="C0C0C0"/>
            <w:vAlign w:val="center"/>
          </w:tcPr>
          <w:p w14:paraId="72A725BE"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Reporting Frequency and Method</w:t>
            </w:r>
          </w:p>
        </w:tc>
        <w:tc>
          <w:tcPr>
            <w:tcW w:w="1170" w:type="dxa"/>
            <w:shd w:val="clear" w:color="auto" w:fill="C0C0C0"/>
            <w:vAlign w:val="center"/>
          </w:tcPr>
          <w:p w14:paraId="115FD087"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Liquidated Damage</w:t>
            </w:r>
          </w:p>
        </w:tc>
        <w:tc>
          <w:tcPr>
            <w:tcW w:w="810" w:type="dxa"/>
            <w:shd w:val="clear" w:color="auto" w:fill="C0C0C0"/>
            <w:vAlign w:val="center"/>
          </w:tcPr>
          <w:p w14:paraId="23CF911A"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Agree? (Y/N)</w:t>
            </w:r>
          </w:p>
        </w:tc>
        <w:tc>
          <w:tcPr>
            <w:tcW w:w="1800" w:type="dxa"/>
            <w:tcBorders>
              <w:bottom w:val="single" w:sz="4" w:space="0" w:color="000000" w:themeColor="text1"/>
            </w:tcBorders>
            <w:shd w:val="clear" w:color="auto" w:fill="C0C0C0"/>
            <w:vAlign w:val="center"/>
          </w:tcPr>
          <w:p w14:paraId="6CFE65EA"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Offered Enhancement to Min. Service Level</w:t>
            </w:r>
          </w:p>
        </w:tc>
      </w:tr>
      <w:tr w:rsidR="00B53DEA" w14:paraId="56C7E318" w14:textId="77777777" w:rsidTr="123ED4F6">
        <w:trPr>
          <w:trHeight w:val="563"/>
        </w:trPr>
        <w:tc>
          <w:tcPr>
            <w:tcW w:w="265" w:type="dxa"/>
            <w:vAlign w:val="center"/>
          </w:tcPr>
          <w:p w14:paraId="599F4E8F"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1</w:t>
            </w:r>
          </w:p>
        </w:tc>
        <w:tc>
          <w:tcPr>
            <w:tcW w:w="1260" w:type="dxa"/>
            <w:vAlign w:val="center"/>
          </w:tcPr>
          <w:p w14:paraId="4F959FB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System Recover- ability</w:t>
            </w:r>
          </w:p>
        </w:tc>
        <w:tc>
          <w:tcPr>
            <w:tcW w:w="1890" w:type="dxa"/>
            <w:vAlign w:val="center"/>
          </w:tcPr>
          <w:p w14:paraId="3A1DDCB1" w14:textId="77777777" w:rsidR="00B53DEA" w:rsidRDefault="00E913F3" w:rsidP="123ED4F6">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The Contractor shall report all instances of non-availability or non-reliability of static content, critical applications to IOT, and the Account Database or System within the expected service levels listed to the right.</w:t>
            </w:r>
          </w:p>
        </w:tc>
        <w:tc>
          <w:tcPr>
            <w:tcW w:w="3420" w:type="dxa"/>
            <w:shd w:val="clear" w:color="auto" w:fill="FFFFFF" w:themeFill="background1"/>
            <w:vAlign w:val="center"/>
          </w:tcPr>
          <w:p w14:paraId="771B37ED" w14:textId="09B5D78B" w:rsidR="007E6F54" w:rsidRDefault="33A4CBDE" w:rsidP="123ED4F6">
            <w:pPr>
              <w:widowControl/>
              <w:rPr>
                <w:rFonts w:ascii="Garamond" w:eastAsia="Garamond" w:hAnsi="Garamond" w:cs="Garamond"/>
                <w:sz w:val="20"/>
                <w:szCs w:val="20"/>
              </w:rPr>
            </w:pPr>
            <w:r w:rsidRPr="123ED4F6">
              <w:rPr>
                <w:rFonts w:ascii="Garamond" w:eastAsia="Garamond" w:hAnsi="Garamond" w:cs="Garamond"/>
                <w:sz w:val="20"/>
                <w:szCs w:val="20"/>
              </w:rPr>
              <w:t>A)</w:t>
            </w:r>
            <w:r w:rsidR="007E6F54">
              <w:rPr>
                <w:rFonts w:ascii="Garamond" w:eastAsia="Garamond" w:hAnsi="Garamond" w:cs="Garamond"/>
                <w:sz w:val="20"/>
                <w:szCs w:val="20"/>
              </w:rPr>
              <w:t xml:space="preserve"> Any outage must be reported to the State within 1 hour of knowledge of the outage.</w:t>
            </w:r>
          </w:p>
          <w:p w14:paraId="26A853A2" w14:textId="50618989" w:rsidR="00B53DEA" w:rsidRDefault="007E6F54" w:rsidP="123ED4F6">
            <w:pPr>
              <w:widowControl/>
              <w:rPr>
                <w:rFonts w:ascii="Garamond" w:eastAsia="Garamond" w:hAnsi="Garamond" w:cs="Garamond"/>
                <w:sz w:val="20"/>
                <w:szCs w:val="20"/>
              </w:rPr>
            </w:pPr>
            <w:r>
              <w:rPr>
                <w:rFonts w:ascii="Garamond" w:eastAsia="Garamond" w:hAnsi="Garamond" w:cs="Garamond"/>
                <w:sz w:val="20"/>
                <w:szCs w:val="20"/>
              </w:rPr>
              <w:t>B)</w:t>
            </w:r>
            <w:r w:rsidR="33A4CBDE" w:rsidRPr="123ED4F6">
              <w:rPr>
                <w:rFonts w:ascii="Garamond" w:eastAsia="Garamond" w:hAnsi="Garamond" w:cs="Garamond"/>
                <w:sz w:val="20"/>
                <w:szCs w:val="20"/>
              </w:rPr>
              <w:t xml:space="preserve"> An</w:t>
            </w:r>
            <w:r>
              <w:rPr>
                <w:rFonts w:ascii="Garamond" w:eastAsia="Garamond" w:hAnsi="Garamond" w:cs="Garamond"/>
                <w:sz w:val="20"/>
                <w:szCs w:val="20"/>
              </w:rPr>
              <w:t xml:space="preserve"> initial</w:t>
            </w:r>
            <w:r w:rsidR="33A4CBDE" w:rsidRPr="123ED4F6">
              <w:rPr>
                <w:rFonts w:ascii="Garamond" w:eastAsia="Garamond" w:hAnsi="Garamond" w:cs="Garamond"/>
                <w:sz w:val="20"/>
                <w:szCs w:val="20"/>
              </w:rPr>
              <w:t xml:space="preserve"> outage report must be submitted to IOT within </w:t>
            </w:r>
            <w:r>
              <w:rPr>
                <w:rFonts w:ascii="Garamond" w:eastAsia="Garamond" w:hAnsi="Garamond" w:cs="Garamond"/>
                <w:sz w:val="20"/>
                <w:szCs w:val="20"/>
              </w:rPr>
              <w:t>24 hours</w:t>
            </w:r>
            <w:r w:rsidR="33A4CBDE" w:rsidRPr="123ED4F6">
              <w:rPr>
                <w:rFonts w:ascii="Garamond" w:eastAsia="Garamond" w:hAnsi="Garamond" w:cs="Garamond"/>
                <w:sz w:val="20"/>
                <w:szCs w:val="20"/>
              </w:rPr>
              <w:t xml:space="preserve"> of the incident.</w:t>
            </w:r>
          </w:p>
          <w:p w14:paraId="229D45D2" w14:textId="71170FFF" w:rsidR="00B53DEA" w:rsidRDefault="007E6F54" w:rsidP="123ED4F6">
            <w:pPr>
              <w:widowControl/>
              <w:rPr>
                <w:rFonts w:ascii="Garamond" w:eastAsia="Garamond" w:hAnsi="Garamond" w:cs="Garamond"/>
                <w:sz w:val="20"/>
                <w:szCs w:val="20"/>
              </w:rPr>
            </w:pPr>
            <w:r>
              <w:rPr>
                <w:rFonts w:ascii="Garamond" w:eastAsia="Garamond" w:hAnsi="Garamond" w:cs="Garamond"/>
                <w:sz w:val="20"/>
                <w:szCs w:val="20"/>
              </w:rPr>
              <w:t>C</w:t>
            </w:r>
            <w:r w:rsidR="00E913F3" w:rsidRPr="123ED4F6">
              <w:rPr>
                <w:rFonts w:ascii="Garamond" w:eastAsia="Garamond" w:hAnsi="Garamond" w:cs="Garamond"/>
                <w:sz w:val="20"/>
                <w:szCs w:val="20"/>
              </w:rPr>
              <w:t xml:space="preserve">) A detailed incident report must be submitted to IOT within three (3) </w:t>
            </w:r>
            <w:r>
              <w:rPr>
                <w:rFonts w:ascii="Garamond" w:eastAsia="Garamond" w:hAnsi="Garamond" w:cs="Garamond"/>
                <w:sz w:val="20"/>
                <w:szCs w:val="20"/>
              </w:rPr>
              <w:t>business</w:t>
            </w:r>
            <w:r w:rsidR="00E913F3" w:rsidRPr="123ED4F6">
              <w:rPr>
                <w:rFonts w:ascii="Garamond" w:eastAsia="Garamond" w:hAnsi="Garamond" w:cs="Garamond"/>
                <w:sz w:val="20"/>
                <w:szCs w:val="20"/>
              </w:rPr>
              <w:t xml:space="preserve"> days of the incident.</w:t>
            </w:r>
          </w:p>
          <w:p w14:paraId="068C4636" w14:textId="0935BF76" w:rsidR="00B53DEA" w:rsidRDefault="007E6F54" w:rsidP="123ED4F6">
            <w:pPr>
              <w:widowControl/>
              <w:rPr>
                <w:rFonts w:ascii="Garamond" w:eastAsia="Garamond" w:hAnsi="Garamond" w:cs="Garamond"/>
                <w:sz w:val="20"/>
                <w:szCs w:val="20"/>
              </w:rPr>
            </w:pPr>
            <w:r>
              <w:rPr>
                <w:rFonts w:ascii="Garamond" w:eastAsia="Garamond" w:hAnsi="Garamond" w:cs="Garamond"/>
                <w:sz w:val="20"/>
                <w:szCs w:val="20"/>
              </w:rPr>
              <w:t>D)</w:t>
            </w:r>
            <w:r w:rsidR="00E913F3" w:rsidRPr="123ED4F6">
              <w:rPr>
                <w:rFonts w:ascii="Garamond" w:eastAsia="Garamond" w:hAnsi="Garamond" w:cs="Garamond"/>
                <w:sz w:val="20"/>
                <w:szCs w:val="20"/>
              </w:rPr>
              <w:t xml:space="preserve"> All static content and services deemed critical (including all revenue-generating services and (iii) all services provided to the Governor's Office, LSA, ISP, DHS, DOR, BMV, SOS and PLA) will be fully recovered and available to portal users and administrators with 4 hours.</w:t>
            </w:r>
          </w:p>
          <w:p w14:paraId="4E6E2C94" w14:textId="60618419" w:rsidR="00B53DEA" w:rsidRDefault="007E6F54" w:rsidP="123ED4F6">
            <w:pPr>
              <w:widowControl/>
              <w:rPr>
                <w:rFonts w:ascii="Garamond" w:eastAsia="Garamond" w:hAnsi="Garamond" w:cs="Garamond"/>
                <w:sz w:val="20"/>
                <w:szCs w:val="20"/>
              </w:rPr>
            </w:pPr>
            <w:r>
              <w:rPr>
                <w:rFonts w:ascii="Garamond" w:eastAsia="Garamond" w:hAnsi="Garamond" w:cs="Garamond"/>
                <w:sz w:val="20"/>
                <w:szCs w:val="20"/>
              </w:rPr>
              <w:t>E</w:t>
            </w:r>
            <w:r w:rsidR="00E913F3" w:rsidRPr="123ED4F6">
              <w:rPr>
                <w:rFonts w:ascii="Garamond" w:eastAsia="Garamond" w:hAnsi="Garamond" w:cs="Garamond"/>
                <w:sz w:val="20"/>
                <w:szCs w:val="20"/>
              </w:rPr>
              <w:t>) Non-critical content and systems will be recovered within 72 hours.</w:t>
            </w:r>
          </w:p>
        </w:tc>
        <w:tc>
          <w:tcPr>
            <w:tcW w:w="2250" w:type="dxa"/>
            <w:vAlign w:val="center"/>
          </w:tcPr>
          <w:p w14:paraId="73B114F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All outages will be reported regardless of root cause.</w:t>
            </w:r>
          </w:p>
        </w:tc>
        <w:tc>
          <w:tcPr>
            <w:tcW w:w="1530" w:type="dxa"/>
            <w:vAlign w:val="center"/>
          </w:tcPr>
          <w:p w14:paraId="6B7F04F9"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On an outage-by-outage basis and also compiled in the Weekly Project Status Report.</w:t>
            </w:r>
          </w:p>
        </w:tc>
        <w:tc>
          <w:tcPr>
            <w:tcW w:w="1170" w:type="dxa"/>
            <w:shd w:val="clear" w:color="auto" w:fill="auto"/>
            <w:vAlign w:val="center"/>
          </w:tcPr>
          <w:p w14:paraId="02EEC75C"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1D62D47D"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737E7E80" w14:textId="77777777" w:rsidR="00B53DEA" w:rsidRDefault="00B53DEA" w:rsidP="123ED4F6">
            <w:pPr>
              <w:widowControl/>
              <w:rPr>
                <w:rFonts w:ascii="Garamond" w:eastAsia="Garamond" w:hAnsi="Garamond" w:cs="Garamond"/>
                <w:sz w:val="20"/>
                <w:szCs w:val="20"/>
              </w:rPr>
            </w:pPr>
          </w:p>
        </w:tc>
      </w:tr>
      <w:tr w:rsidR="00B53DEA" w14:paraId="37C2703F" w14:textId="77777777" w:rsidTr="123ED4F6">
        <w:trPr>
          <w:trHeight w:val="563"/>
        </w:trPr>
        <w:tc>
          <w:tcPr>
            <w:tcW w:w="265" w:type="dxa"/>
            <w:vAlign w:val="center"/>
          </w:tcPr>
          <w:p w14:paraId="4D5FED74"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lastRenderedPageBreak/>
              <w:t>2</w:t>
            </w:r>
          </w:p>
        </w:tc>
        <w:tc>
          <w:tcPr>
            <w:tcW w:w="1260" w:type="dxa"/>
            <w:vAlign w:val="center"/>
          </w:tcPr>
          <w:p w14:paraId="74255DE5"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System Uptime</w:t>
            </w:r>
          </w:p>
        </w:tc>
        <w:tc>
          <w:tcPr>
            <w:tcW w:w="1890" w:type="dxa"/>
            <w:vAlign w:val="center"/>
          </w:tcPr>
          <w:p w14:paraId="58900377" w14:textId="77777777" w:rsidR="00B53DEA" w:rsidRDefault="00E913F3" w:rsidP="123ED4F6">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The Data Center, critical applications to IOT, and the Account Database or System, shall maintain system uptime against a 24-hours per day, 7 days per week operating schedule, excluding maintenance time.</w:t>
            </w:r>
          </w:p>
        </w:tc>
        <w:tc>
          <w:tcPr>
            <w:tcW w:w="3420" w:type="dxa"/>
            <w:shd w:val="clear" w:color="auto" w:fill="FFFFFF" w:themeFill="background1"/>
            <w:vAlign w:val="center"/>
          </w:tcPr>
          <w:p w14:paraId="27E1CE04"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99.9% uptime other than scheduled maintenance time</w:t>
            </w:r>
          </w:p>
        </w:tc>
        <w:tc>
          <w:tcPr>
            <w:tcW w:w="2250" w:type="dxa"/>
            <w:vAlign w:val="center"/>
          </w:tcPr>
          <w:p w14:paraId="1CA9248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Monthly calculation of (system uptime for a given month/all time (other than scheduled maintenance) in a given month)</w:t>
            </w:r>
          </w:p>
        </w:tc>
        <w:tc>
          <w:tcPr>
            <w:tcW w:w="1530" w:type="dxa"/>
            <w:vAlign w:val="center"/>
          </w:tcPr>
          <w:p w14:paraId="1FEA336B"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Gathered and reported to the State as part of the Monthly Performance Report</w:t>
            </w:r>
          </w:p>
        </w:tc>
        <w:tc>
          <w:tcPr>
            <w:tcW w:w="1170" w:type="dxa"/>
            <w:shd w:val="clear" w:color="auto" w:fill="auto"/>
            <w:vAlign w:val="center"/>
          </w:tcPr>
          <w:p w14:paraId="76C35F71"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40316E82"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43693FD4" w14:textId="77777777" w:rsidR="00B53DEA" w:rsidRDefault="00B53DEA" w:rsidP="123ED4F6">
            <w:pPr>
              <w:widowControl/>
              <w:rPr>
                <w:rFonts w:ascii="Garamond" w:eastAsia="Garamond" w:hAnsi="Garamond" w:cs="Garamond"/>
                <w:sz w:val="20"/>
                <w:szCs w:val="20"/>
              </w:rPr>
            </w:pPr>
          </w:p>
        </w:tc>
      </w:tr>
      <w:tr w:rsidR="00B53DEA" w14:paraId="0792BA39" w14:textId="77777777" w:rsidTr="123ED4F6">
        <w:trPr>
          <w:trHeight w:val="50"/>
        </w:trPr>
        <w:tc>
          <w:tcPr>
            <w:tcW w:w="265" w:type="dxa"/>
            <w:vAlign w:val="center"/>
          </w:tcPr>
          <w:p w14:paraId="3958FE9F"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3</w:t>
            </w:r>
          </w:p>
        </w:tc>
        <w:tc>
          <w:tcPr>
            <w:tcW w:w="1260" w:type="dxa"/>
            <w:vAlign w:val="center"/>
          </w:tcPr>
          <w:p w14:paraId="262CFC85"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IN.gov Performance</w:t>
            </w:r>
          </w:p>
        </w:tc>
        <w:tc>
          <w:tcPr>
            <w:tcW w:w="1890" w:type="dxa"/>
            <w:vAlign w:val="center"/>
          </w:tcPr>
          <w:p w14:paraId="26E03D3B" w14:textId="2158A684" w:rsidR="00B53DEA" w:rsidRDefault="00E913F3" w:rsidP="123ED4F6">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 xml:space="preserve">The Contractor shall ensure IN.gov webpages maintain a response time of at </w:t>
            </w:r>
            <w:r w:rsidR="5267587D" w:rsidRPr="123ED4F6">
              <w:rPr>
                <w:rFonts w:ascii="Garamond" w:eastAsia="Garamond" w:hAnsi="Garamond" w:cs="Garamond"/>
                <w:b w:val="0"/>
                <w:bCs w:val="0"/>
                <w:sz w:val="20"/>
                <w:szCs w:val="20"/>
              </w:rPr>
              <w:t>most one second</w:t>
            </w:r>
            <w:r w:rsidRPr="123ED4F6">
              <w:rPr>
                <w:rFonts w:ascii="Garamond" w:eastAsia="Garamond" w:hAnsi="Garamond" w:cs="Garamond"/>
                <w:b w:val="0"/>
                <w:bCs w:val="0"/>
                <w:sz w:val="20"/>
                <w:szCs w:val="20"/>
              </w:rPr>
              <w:t>.</w:t>
            </w:r>
          </w:p>
        </w:tc>
        <w:tc>
          <w:tcPr>
            <w:tcW w:w="3420" w:type="dxa"/>
            <w:shd w:val="clear" w:color="auto" w:fill="FFFFFF" w:themeFill="background1"/>
            <w:vAlign w:val="center"/>
          </w:tcPr>
          <w:p w14:paraId="0399BBC8"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99.99% adherence to the response thresholds, other than during scheduled maintenance</w:t>
            </w:r>
          </w:p>
        </w:tc>
        <w:tc>
          <w:tcPr>
            <w:tcW w:w="2250" w:type="dxa"/>
            <w:vAlign w:val="center"/>
          </w:tcPr>
          <w:p w14:paraId="3BC595BD"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Monthly calculation of system response time that meets the metric/all time (other than scheduled maintenance) in a given month</w:t>
            </w:r>
          </w:p>
        </w:tc>
        <w:tc>
          <w:tcPr>
            <w:tcW w:w="1530" w:type="dxa"/>
            <w:vAlign w:val="center"/>
          </w:tcPr>
          <w:p w14:paraId="260E4256"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Gathered and reported to the State as part of the Monthly Performance Report</w:t>
            </w:r>
          </w:p>
        </w:tc>
        <w:tc>
          <w:tcPr>
            <w:tcW w:w="1170" w:type="dxa"/>
            <w:shd w:val="clear" w:color="auto" w:fill="auto"/>
            <w:vAlign w:val="center"/>
          </w:tcPr>
          <w:p w14:paraId="0C13AC72"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69CB44AA"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361610E4" w14:textId="77777777" w:rsidR="00B53DEA" w:rsidRDefault="00B53DEA" w:rsidP="123ED4F6">
            <w:pPr>
              <w:widowControl/>
              <w:rPr>
                <w:rFonts w:ascii="Garamond" w:eastAsia="Garamond" w:hAnsi="Garamond" w:cs="Garamond"/>
                <w:sz w:val="20"/>
                <w:szCs w:val="20"/>
              </w:rPr>
            </w:pPr>
          </w:p>
        </w:tc>
      </w:tr>
      <w:tr w:rsidR="00B53DEA" w14:paraId="5724609A" w14:textId="77777777" w:rsidTr="123ED4F6">
        <w:trPr>
          <w:trHeight w:val="50"/>
        </w:trPr>
        <w:tc>
          <w:tcPr>
            <w:tcW w:w="265" w:type="dxa"/>
            <w:vAlign w:val="center"/>
          </w:tcPr>
          <w:p w14:paraId="22FEC372"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4</w:t>
            </w:r>
          </w:p>
        </w:tc>
        <w:tc>
          <w:tcPr>
            <w:tcW w:w="1260" w:type="dxa"/>
            <w:vAlign w:val="center"/>
          </w:tcPr>
          <w:p w14:paraId="229CC2B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Team Stability</w:t>
            </w:r>
          </w:p>
        </w:tc>
        <w:tc>
          <w:tcPr>
            <w:tcW w:w="1890" w:type="dxa"/>
            <w:vAlign w:val="center"/>
          </w:tcPr>
          <w:p w14:paraId="72E7635C" w14:textId="77777777" w:rsidR="00B53DEA" w:rsidRDefault="00E913F3" w:rsidP="123ED4F6">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To provide consistent service to the state, the Contractor must provide a stable, dependable team structure.</w:t>
            </w:r>
          </w:p>
        </w:tc>
        <w:tc>
          <w:tcPr>
            <w:tcW w:w="3420" w:type="dxa"/>
            <w:shd w:val="clear" w:color="auto" w:fill="FFFFFF" w:themeFill="background1"/>
            <w:vAlign w:val="center"/>
          </w:tcPr>
          <w:p w14:paraId="31DBC20D"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Team attrition of no more than 8% per 6-month reporting period is expected.</w:t>
            </w:r>
          </w:p>
        </w:tc>
        <w:tc>
          <w:tcPr>
            <w:tcW w:w="2250" w:type="dxa"/>
            <w:vAlign w:val="center"/>
          </w:tcPr>
          <w:p w14:paraId="56B0297D"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For each 6-month reporting period, attrition shall be calculated as follows:</w:t>
            </w:r>
          </w:p>
          <w:p w14:paraId="3F34862A" w14:textId="77777777" w:rsidR="00B53DEA" w:rsidRDefault="00E913F3" w:rsidP="123ED4F6">
            <w:pPr>
              <w:widowControl/>
              <w:pBdr>
                <w:bottom w:val="single" w:sz="6" w:space="1" w:color="000000"/>
              </w:pBdr>
              <w:jc w:val="center"/>
              <w:rPr>
                <w:rFonts w:ascii="Garamond" w:eastAsia="Garamond" w:hAnsi="Garamond" w:cs="Garamond"/>
                <w:sz w:val="20"/>
                <w:szCs w:val="20"/>
              </w:rPr>
            </w:pPr>
            <w:r w:rsidRPr="123ED4F6">
              <w:rPr>
                <w:rFonts w:ascii="Garamond" w:eastAsia="Garamond" w:hAnsi="Garamond" w:cs="Garamond"/>
                <w:sz w:val="20"/>
                <w:szCs w:val="20"/>
              </w:rPr>
              <w:t>(Team members who departed during the reporting period)</w:t>
            </w:r>
          </w:p>
          <w:p w14:paraId="5D0BC65C"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((team size at the beginning of the period) + (team size at end of period)/2).</w:t>
            </w:r>
          </w:p>
          <w:p w14:paraId="27C58DBE" w14:textId="77777777" w:rsidR="00B53DEA" w:rsidRDefault="00B53DEA" w:rsidP="123ED4F6">
            <w:pPr>
              <w:widowControl/>
              <w:rPr>
                <w:rFonts w:ascii="Garamond" w:eastAsia="Garamond" w:hAnsi="Garamond" w:cs="Garamond"/>
                <w:sz w:val="20"/>
                <w:szCs w:val="20"/>
              </w:rPr>
            </w:pPr>
          </w:p>
          <w:p w14:paraId="60DB6F17"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For the purposes of this SLA, team size will be a count of all team members in a full-time role (&gt;30 weekly expected hours) expected to complete at least 500 hours of work.</w:t>
            </w:r>
          </w:p>
        </w:tc>
        <w:tc>
          <w:tcPr>
            <w:tcW w:w="1530" w:type="dxa"/>
            <w:vAlign w:val="center"/>
          </w:tcPr>
          <w:p w14:paraId="5D41A09E"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Team Stability data will be compiled and reported to the State every 6 months in a stand-alone deliverable. </w:t>
            </w:r>
          </w:p>
        </w:tc>
        <w:tc>
          <w:tcPr>
            <w:tcW w:w="1170" w:type="dxa"/>
            <w:shd w:val="clear" w:color="auto" w:fill="auto"/>
            <w:vAlign w:val="center"/>
          </w:tcPr>
          <w:p w14:paraId="39BBB06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706A510D"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39B45B6E" w14:textId="77777777" w:rsidR="00B53DEA" w:rsidRDefault="00B53DEA" w:rsidP="123ED4F6">
            <w:pPr>
              <w:widowControl/>
              <w:rPr>
                <w:rFonts w:ascii="Garamond" w:eastAsia="Garamond" w:hAnsi="Garamond" w:cs="Garamond"/>
                <w:sz w:val="20"/>
                <w:szCs w:val="20"/>
              </w:rPr>
            </w:pPr>
          </w:p>
        </w:tc>
      </w:tr>
      <w:tr w:rsidR="00B53DEA" w14:paraId="46C064B4" w14:textId="77777777" w:rsidTr="123ED4F6">
        <w:trPr>
          <w:trHeight w:val="50"/>
        </w:trPr>
        <w:tc>
          <w:tcPr>
            <w:tcW w:w="265" w:type="dxa"/>
            <w:vAlign w:val="center"/>
          </w:tcPr>
          <w:p w14:paraId="299AE563"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lastRenderedPageBreak/>
              <w:t>5</w:t>
            </w:r>
          </w:p>
        </w:tc>
        <w:tc>
          <w:tcPr>
            <w:tcW w:w="1260" w:type="dxa"/>
            <w:vAlign w:val="center"/>
          </w:tcPr>
          <w:p w14:paraId="365EE0F4"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Background Checks</w:t>
            </w:r>
          </w:p>
        </w:tc>
        <w:tc>
          <w:tcPr>
            <w:tcW w:w="1890" w:type="dxa"/>
            <w:vAlign w:val="center"/>
          </w:tcPr>
          <w:p w14:paraId="70E8D03F" w14:textId="6DF85FEA" w:rsidR="00B53DEA" w:rsidRDefault="4039DABB" w:rsidP="123ED4F6">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 xml:space="preserve"> Starting from the day one of the contract and continuing until the contract is no longer in effect, all employees must have undergone a fingerprint based criminal history check within 60 days of being assigned to this account.  </w:t>
            </w:r>
          </w:p>
        </w:tc>
        <w:tc>
          <w:tcPr>
            <w:tcW w:w="3420" w:type="dxa"/>
            <w:shd w:val="clear" w:color="auto" w:fill="FFFFFF" w:themeFill="background1"/>
            <w:vAlign w:val="center"/>
          </w:tcPr>
          <w:p w14:paraId="2E89F866"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100% compliance for all Contractor and subcontractor personnel</w:t>
            </w:r>
          </w:p>
        </w:tc>
        <w:tc>
          <w:tcPr>
            <w:tcW w:w="2250" w:type="dxa"/>
            <w:vAlign w:val="center"/>
          </w:tcPr>
          <w:p w14:paraId="7E0B301A"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Calculation: Date contract starts compared to date fingerprints required to complete the criminal history record background check are submitted</w:t>
            </w:r>
          </w:p>
        </w:tc>
        <w:tc>
          <w:tcPr>
            <w:tcW w:w="1530" w:type="dxa"/>
            <w:vAlign w:val="center"/>
          </w:tcPr>
          <w:p w14:paraId="0E41477D"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Reported via a standalone deliverable within two weeks after the 90</w:t>
            </w:r>
            <w:r w:rsidRPr="123ED4F6">
              <w:rPr>
                <w:rFonts w:ascii="Garamond" w:eastAsia="Garamond" w:hAnsi="Garamond" w:cs="Garamond"/>
                <w:sz w:val="20"/>
                <w:szCs w:val="20"/>
                <w:vertAlign w:val="superscript"/>
              </w:rPr>
              <w:t>th</w:t>
            </w:r>
            <w:r w:rsidRPr="123ED4F6">
              <w:rPr>
                <w:rFonts w:ascii="Garamond" w:eastAsia="Garamond" w:hAnsi="Garamond" w:cs="Garamond"/>
                <w:sz w:val="20"/>
                <w:szCs w:val="20"/>
              </w:rPr>
              <w:t xml:space="preserve"> day of the contract</w:t>
            </w:r>
          </w:p>
        </w:tc>
        <w:tc>
          <w:tcPr>
            <w:tcW w:w="1170" w:type="dxa"/>
            <w:shd w:val="clear" w:color="auto" w:fill="auto"/>
            <w:vAlign w:val="center"/>
          </w:tcPr>
          <w:p w14:paraId="79604B91"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7E3FEC9D"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75653573" w14:textId="77777777" w:rsidR="00B53DEA" w:rsidRDefault="00B53DEA" w:rsidP="123ED4F6">
            <w:pPr>
              <w:widowControl/>
              <w:rPr>
                <w:rFonts w:ascii="Garamond" w:eastAsia="Garamond" w:hAnsi="Garamond" w:cs="Garamond"/>
                <w:sz w:val="20"/>
                <w:szCs w:val="20"/>
              </w:rPr>
            </w:pPr>
          </w:p>
        </w:tc>
      </w:tr>
      <w:tr w:rsidR="00B53DEA" w14:paraId="2F665F2A" w14:textId="77777777" w:rsidTr="123ED4F6">
        <w:trPr>
          <w:trHeight w:val="50"/>
        </w:trPr>
        <w:tc>
          <w:tcPr>
            <w:tcW w:w="265" w:type="dxa"/>
            <w:vAlign w:val="center"/>
          </w:tcPr>
          <w:p w14:paraId="5DE424D5"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6</w:t>
            </w:r>
          </w:p>
        </w:tc>
        <w:tc>
          <w:tcPr>
            <w:tcW w:w="1260" w:type="dxa"/>
            <w:vAlign w:val="center"/>
          </w:tcPr>
          <w:p w14:paraId="1465D83F"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Staff Removal</w:t>
            </w:r>
          </w:p>
        </w:tc>
        <w:tc>
          <w:tcPr>
            <w:tcW w:w="1890" w:type="dxa"/>
            <w:vAlign w:val="center"/>
          </w:tcPr>
          <w:p w14:paraId="2225ACB3" w14:textId="77777777" w:rsidR="00B53DEA" w:rsidRDefault="00E913F3" w:rsidP="123ED4F6">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If the State becomes reasonably dissatisfied with the work product of or the working relationship with an individual assigned to work on this Contract, the Contractor must either replace or reassign such individual.</w:t>
            </w:r>
          </w:p>
        </w:tc>
        <w:tc>
          <w:tcPr>
            <w:tcW w:w="3420" w:type="dxa"/>
            <w:shd w:val="clear" w:color="auto" w:fill="FFFFFF" w:themeFill="background1"/>
            <w:vAlign w:val="center"/>
          </w:tcPr>
          <w:p w14:paraId="1A5F1144"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100% compliance with removing or reassigning Contractor or subcontractor employees found unacceptable to the State within two (2) weeks of the request for removal, or sooner if requested by the State.</w:t>
            </w:r>
          </w:p>
        </w:tc>
        <w:tc>
          <w:tcPr>
            <w:tcW w:w="2250" w:type="dxa"/>
            <w:vAlign w:val="center"/>
          </w:tcPr>
          <w:p w14:paraId="4C26270F"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Calculation per incident: date of request compared to date of removal / reassignment.</w:t>
            </w:r>
          </w:p>
        </w:tc>
        <w:tc>
          <w:tcPr>
            <w:tcW w:w="1530" w:type="dxa"/>
            <w:vAlign w:val="center"/>
          </w:tcPr>
          <w:p w14:paraId="6EB53D9E"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On an incident-by-incident basis and reported to the State as part of the Monthly Performance Report.</w:t>
            </w:r>
          </w:p>
        </w:tc>
        <w:tc>
          <w:tcPr>
            <w:tcW w:w="1170" w:type="dxa"/>
            <w:shd w:val="clear" w:color="auto" w:fill="auto"/>
            <w:vAlign w:val="center"/>
          </w:tcPr>
          <w:p w14:paraId="3A09C811"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244CFCC9"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388A5EDF" w14:textId="77777777" w:rsidR="00B53DEA" w:rsidRDefault="00B53DEA" w:rsidP="123ED4F6">
            <w:pPr>
              <w:widowControl/>
              <w:rPr>
                <w:rFonts w:ascii="Garamond" w:eastAsia="Garamond" w:hAnsi="Garamond" w:cs="Garamond"/>
                <w:sz w:val="20"/>
                <w:szCs w:val="20"/>
              </w:rPr>
            </w:pPr>
          </w:p>
        </w:tc>
      </w:tr>
      <w:tr w:rsidR="00B53DEA" w14:paraId="0E19E944" w14:textId="77777777" w:rsidTr="123ED4F6">
        <w:trPr>
          <w:trHeight w:val="588"/>
        </w:trPr>
        <w:tc>
          <w:tcPr>
            <w:tcW w:w="265" w:type="dxa"/>
            <w:vAlign w:val="center"/>
          </w:tcPr>
          <w:p w14:paraId="055D930C"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lastRenderedPageBreak/>
              <w:t>7</w:t>
            </w:r>
          </w:p>
        </w:tc>
        <w:tc>
          <w:tcPr>
            <w:tcW w:w="1260" w:type="dxa"/>
            <w:vAlign w:val="center"/>
          </w:tcPr>
          <w:p w14:paraId="71DEDD17"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Web Portal Support Elements</w:t>
            </w:r>
          </w:p>
        </w:tc>
        <w:tc>
          <w:tcPr>
            <w:tcW w:w="1890" w:type="dxa"/>
            <w:vAlign w:val="center"/>
          </w:tcPr>
          <w:p w14:paraId="0DD4C23B" w14:textId="77777777" w:rsidR="00B53DEA" w:rsidRDefault="00E913F3" w:rsidP="123ED4F6">
            <w:pPr>
              <w:pStyle w:val="Heading1"/>
              <w:keepLines/>
              <w:tabs>
                <w:tab w:val="left" w:pos="2700"/>
              </w:tabs>
              <w:spacing w:before="0" w:after="0"/>
              <w:rPr>
                <w:rFonts w:ascii="Garamond" w:eastAsia="Garamond" w:hAnsi="Garamond" w:cs="Garamond"/>
                <w:b w:val="0"/>
                <w:bCs w:val="0"/>
                <w:sz w:val="20"/>
                <w:szCs w:val="20"/>
              </w:rPr>
            </w:pPr>
            <w:r w:rsidRPr="123ED4F6">
              <w:rPr>
                <w:rFonts w:ascii="Garamond" w:eastAsia="Garamond" w:hAnsi="Garamond" w:cs="Garamond"/>
                <w:b w:val="0"/>
                <w:bCs w:val="0"/>
                <w:sz w:val="20"/>
                <w:szCs w:val="20"/>
              </w:rPr>
              <w:t>The Contractor shall uphold their commitments to the baseline included quantities stated in their RFP Cost Proposal for the following support elements as part of Baseline Services:</w:t>
            </w:r>
          </w:p>
          <w:p w14:paraId="362C031D" w14:textId="77777777" w:rsidR="00B53DEA" w:rsidRDefault="00E913F3" w:rsidP="123ED4F6">
            <w:pPr>
              <w:pStyle w:val="Heading1"/>
              <w:keepLines/>
              <w:tabs>
                <w:tab w:val="left" w:pos="2700"/>
              </w:tabs>
              <w:spacing w:before="0" w:after="0"/>
              <w:rPr>
                <w:rFonts w:ascii="Garamond" w:eastAsia="Garamond" w:hAnsi="Garamond" w:cs="Garamond"/>
                <w:b w:val="0"/>
                <w:bCs w:val="0"/>
                <w:sz w:val="20"/>
                <w:szCs w:val="20"/>
              </w:rPr>
            </w:pPr>
            <w:r w:rsidRPr="123ED4F6">
              <w:rPr>
                <w:rFonts w:ascii="Garamond" w:eastAsia="Garamond" w:hAnsi="Garamond" w:cs="Garamond"/>
                <w:b w:val="0"/>
                <w:bCs w:val="0"/>
                <w:sz w:val="20"/>
                <w:szCs w:val="20"/>
              </w:rPr>
              <w:t>i. The addition of websites to include state and local government agencies.</w:t>
            </w:r>
          </w:p>
          <w:p w14:paraId="5180336B" w14:textId="77777777" w:rsidR="00B53DEA" w:rsidRDefault="00E913F3" w:rsidP="123ED4F6">
            <w:pPr>
              <w:pStyle w:val="Heading1"/>
              <w:keepLines/>
              <w:tabs>
                <w:tab w:val="left" w:pos="2700"/>
              </w:tabs>
              <w:spacing w:before="0" w:after="0"/>
              <w:rPr>
                <w:rFonts w:ascii="Garamond" w:eastAsia="Garamond" w:hAnsi="Garamond" w:cs="Garamond"/>
                <w:b w:val="0"/>
                <w:bCs w:val="0"/>
                <w:sz w:val="20"/>
                <w:szCs w:val="20"/>
              </w:rPr>
            </w:pPr>
            <w:r w:rsidRPr="123ED4F6">
              <w:rPr>
                <w:rFonts w:ascii="Garamond" w:eastAsia="Garamond" w:hAnsi="Garamond" w:cs="Garamond"/>
                <w:b w:val="0"/>
                <w:bCs w:val="0"/>
                <w:sz w:val="20"/>
                <w:szCs w:val="20"/>
              </w:rPr>
              <w:t>ii. The addition of new third-party applications</w:t>
            </w:r>
          </w:p>
          <w:p w14:paraId="0D7F5709" w14:textId="5FE83013" w:rsidR="00B53DEA" w:rsidRDefault="00E913F3" w:rsidP="123ED4F6">
            <w:pPr>
              <w:pStyle w:val="Heading1"/>
              <w:keepLines/>
              <w:tabs>
                <w:tab w:val="left" w:pos="2700"/>
              </w:tabs>
              <w:spacing w:before="0" w:after="0"/>
              <w:rPr>
                <w:rFonts w:ascii="Garamond" w:eastAsia="Garamond" w:hAnsi="Garamond" w:cs="Garamond"/>
                <w:b w:val="0"/>
                <w:bCs w:val="0"/>
                <w:sz w:val="20"/>
                <w:szCs w:val="20"/>
              </w:rPr>
            </w:pPr>
            <w:r w:rsidRPr="123ED4F6">
              <w:rPr>
                <w:rFonts w:ascii="Garamond" w:eastAsia="Garamond" w:hAnsi="Garamond" w:cs="Garamond"/>
                <w:b w:val="0"/>
                <w:bCs w:val="0"/>
                <w:sz w:val="20"/>
                <w:szCs w:val="20"/>
              </w:rPr>
              <w:t>iii. The addition of domain names</w:t>
            </w:r>
          </w:p>
        </w:tc>
        <w:tc>
          <w:tcPr>
            <w:tcW w:w="3420" w:type="dxa"/>
            <w:shd w:val="clear" w:color="auto" w:fill="FFFFFF" w:themeFill="background1"/>
            <w:vAlign w:val="center"/>
          </w:tcPr>
          <w:p w14:paraId="693AAF29"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Each year, the Contractor shall accommodate 100% support element requests up to the quantities stated in the Contractor’s RFP Cost Proposal as part of Baseline Services.</w:t>
            </w:r>
          </w:p>
        </w:tc>
        <w:tc>
          <w:tcPr>
            <w:tcW w:w="2250" w:type="dxa"/>
            <w:vAlign w:val="center"/>
          </w:tcPr>
          <w:p w14:paraId="0B5EAF42"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Yearly calculation of support element requests compared to the support element quantities stated in the Contractor’s RFP Cost Proposal.</w:t>
            </w:r>
          </w:p>
        </w:tc>
        <w:tc>
          <w:tcPr>
            <w:tcW w:w="1530" w:type="dxa"/>
            <w:vAlign w:val="center"/>
          </w:tcPr>
          <w:p w14:paraId="4A763804"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Reported via a standalone deliverable within one month after the end of each contract year.</w:t>
            </w:r>
          </w:p>
        </w:tc>
        <w:tc>
          <w:tcPr>
            <w:tcW w:w="1170" w:type="dxa"/>
            <w:shd w:val="clear" w:color="auto" w:fill="auto"/>
            <w:vAlign w:val="center"/>
          </w:tcPr>
          <w:p w14:paraId="344FBE68"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72486429"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5E376491" w14:textId="77777777" w:rsidR="00B53DEA" w:rsidRDefault="00B53DEA" w:rsidP="123ED4F6">
            <w:pPr>
              <w:widowControl/>
              <w:rPr>
                <w:rFonts w:ascii="Garamond" w:eastAsia="Garamond" w:hAnsi="Garamond" w:cs="Garamond"/>
                <w:sz w:val="20"/>
                <w:szCs w:val="20"/>
              </w:rPr>
            </w:pPr>
          </w:p>
        </w:tc>
      </w:tr>
      <w:tr w:rsidR="00B53DEA" w14:paraId="2F5A6F0A" w14:textId="77777777" w:rsidTr="123ED4F6">
        <w:trPr>
          <w:trHeight w:val="588"/>
        </w:trPr>
        <w:tc>
          <w:tcPr>
            <w:tcW w:w="265" w:type="dxa"/>
            <w:vAlign w:val="center"/>
          </w:tcPr>
          <w:p w14:paraId="1316A056"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8</w:t>
            </w:r>
          </w:p>
        </w:tc>
        <w:tc>
          <w:tcPr>
            <w:tcW w:w="1260" w:type="dxa"/>
            <w:vAlign w:val="center"/>
          </w:tcPr>
          <w:p w14:paraId="6611B36B"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Project Delivery</w:t>
            </w:r>
          </w:p>
        </w:tc>
        <w:tc>
          <w:tcPr>
            <w:tcW w:w="1890" w:type="dxa"/>
            <w:vAlign w:val="center"/>
          </w:tcPr>
          <w:p w14:paraId="501D0835" w14:textId="77777777" w:rsidR="00B53DEA" w:rsidRDefault="00E913F3" w:rsidP="123ED4F6">
            <w:pPr>
              <w:pStyle w:val="Heading1"/>
              <w:keepLines/>
              <w:tabs>
                <w:tab w:val="left" w:pos="2700"/>
              </w:tab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All discretionary (SOW/TO) work will be completed on time and within budget.</w:t>
            </w:r>
          </w:p>
        </w:tc>
        <w:tc>
          <w:tcPr>
            <w:tcW w:w="3420" w:type="dxa"/>
            <w:shd w:val="clear" w:color="auto" w:fill="FFFFFF" w:themeFill="background1"/>
            <w:vAlign w:val="center"/>
          </w:tcPr>
          <w:p w14:paraId="04D0A828" w14:textId="3F49F316"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A Statement of Work (SOW) / Task Order (TO) will be completed for all discretionary work items in accordance with Scope of Work Sections 1.</w:t>
            </w:r>
            <w:r w:rsidR="000A4908">
              <w:rPr>
                <w:rFonts w:ascii="Garamond" w:eastAsia="Garamond" w:hAnsi="Garamond" w:cs="Garamond"/>
                <w:sz w:val="20"/>
                <w:szCs w:val="20"/>
              </w:rPr>
              <w:t>4.2.2</w:t>
            </w:r>
            <w:r w:rsidRPr="123ED4F6">
              <w:rPr>
                <w:rFonts w:ascii="Garamond" w:eastAsia="Garamond" w:hAnsi="Garamond" w:cs="Garamond"/>
                <w:sz w:val="20"/>
                <w:szCs w:val="20"/>
              </w:rPr>
              <w:t xml:space="preserve"> and 1.</w:t>
            </w:r>
            <w:r w:rsidR="000A4908">
              <w:rPr>
                <w:rFonts w:ascii="Garamond" w:eastAsia="Garamond" w:hAnsi="Garamond" w:cs="Garamond"/>
                <w:sz w:val="20"/>
                <w:szCs w:val="20"/>
              </w:rPr>
              <w:t>4.2.3</w:t>
            </w:r>
            <w:r w:rsidRPr="123ED4F6">
              <w:rPr>
                <w:rFonts w:ascii="Garamond" w:eastAsia="Garamond" w:hAnsi="Garamond" w:cs="Garamond"/>
                <w:sz w:val="20"/>
                <w:szCs w:val="20"/>
              </w:rPr>
              <w:t>. All work efforts of this type will complete within+/- 5% of the timeline and</w:t>
            </w:r>
            <w:r w:rsidR="4DE34CDA" w:rsidRPr="123ED4F6">
              <w:rPr>
                <w:rFonts w:ascii="Garamond" w:eastAsia="Garamond" w:hAnsi="Garamond" w:cs="Garamond"/>
                <w:sz w:val="20"/>
                <w:szCs w:val="20"/>
              </w:rPr>
              <w:t xml:space="preserve"> within the</w:t>
            </w:r>
            <w:r w:rsidRPr="123ED4F6">
              <w:rPr>
                <w:rFonts w:ascii="Garamond" w:eastAsia="Garamond" w:hAnsi="Garamond" w:cs="Garamond"/>
                <w:sz w:val="20"/>
                <w:szCs w:val="20"/>
              </w:rPr>
              <w:t xml:space="preserve"> budget outlined in the SOW /TO and any associated Change Orders.</w:t>
            </w:r>
          </w:p>
        </w:tc>
        <w:tc>
          <w:tcPr>
            <w:tcW w:w="2250" w:type="dxa"/>
            <w:vAlign w:val="center"/>
          </w:tcPr>
          <w:p w14:paraId="53CFC445"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To be determined by SOW/TO.</w:t>
            </w:r>
          </w:p>
        </w:tc>
        <w:tc>
          <w:tcPr>
            <w:tcW w:w="1530" w:type="dxa"/>
            <w:vAlign w:val="center"/>
          </w:tcPr>
          <w:p w14:paraId="64A97EAE"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Compiled and analyzed against expected delivery dates and budgets in the Weekly Status Report.</w:t>
            </w:r>
          </w:p>
        </w:tc>
        <w:tc>
          <w:tcPr>
            <w:tcW w:w="1170" w:type="dxa"/>
            <w:shd w:val="clear" w:color="auto" w:fill="auto"/>
            <w:vAlign w:val="center"/>
          </w:tcPr>
          <w:p w14:paraId="556DBD77"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6E0A596A"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1E1539E3" w14:textId="77777777" w:rsidR="00B53DEA" w:rsidRDefault="00B53DEA" w:rsidP="123ED4F6">
            <w:pPr>
              <w:widowControl/>
              <w:rPr>
                <w:rFonts w:ascii="Garamond" w:eastAsia="Garamond" w:hAnsi="Garamond" w:cs="Garamond"/>
                <w:sz w:val="20"/>
                <w:szCs w:val="20"/>
              </w:rPr>
            </w:pPr>
          </w:p>
        </w:tc>
      </w:tr>
      <w:tr w:rsidR="00B53DEA" w14:paraId="4DF55629" w14:textId="77777777" w:rsidTr="123ED4F6">
        <w:trPr>
          <w:trHeight w:val="588"/>
        </w:trPr>
        <w:tc>
          <w:tcPr>
            <w:tcW w:w="265" w:type="dxa"/>
            <w:vAlign w:val="center"/>
          </w:tcPr>
          <w:p w14:paraId="3B62A79A"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9</w:t>
            </w:r>
          </w:p>
        </w:tc>
        <w:tc>
          <w:tcPr>
            <w:tcW w:w="1260" w:type="dxa"/>
            <w:vAlign w:val="center"/>
          </w:tcPr>
          <w:p w14:paraId="52C49809"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Project Quality</w:t>
            </w:r>
          </w:p>
        </w:tc>
        <w:tc>
          <w:tcPr>
            <w:tcW w:w="1890" w:type="dxa"/>
            <w:vAlign w:val="center"/>
          </w:tcPr>
          <w:p w14:paraId="5B0969FC" w14:textId="77777777" w:rsidR="00B53DEA" w:rsidRDefault="00E913F3" w:rsidP="123ED4F6">
            <w:pPr>
              <w:pStyle w:val="Heading1"/>
              <w:keepLines/>
              <w:tabs>
                <w:tab w:val="left" w:pos="2700"/>
              </w:tab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All discretionary (SOW/TO) work must be of a consistently high quality.</w:t>
            </w:r>
          </w:p>
        </w:tc>
        <w:tc>
          <w:tcPr>
            <w:tcW w:w="3420" w:type="dxa"/>
            <w:shd w:val="clear" w:color="auto" w:fill="FFFFFF" w:themeFill="background1"/>
            <w:vAlign w:val="center"/>
          </w:tcPr>
          <w:p w14:paraId="1333C4C9"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No changes made to the production portal will need to be backed out or be considered materially non-functional in production as a result of an egregious</w:t>
            </w:r>
          </w:p>
          <w:p w14:paraId="44111D80"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oversight by the Contractor.</w:t>
            </w:r>
          </w:p>
        </w:tc>
        <w:tc>
          <w:tcPr>
            <w:tcW w:w="2250" w:type="dxa"/>
            <w:vAlign w:val="center"/>
          </w:tcPr>
          <w:p w14:paraId="5FA5801B"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To be determined by SOW/TO.</w:t>
            </w:r>
          </w:p>
        </w:tc>
        <w:tc>
          <w:tcPr>
            <w:tcW w:w="1530" w:type="dxa"/>
            <w:vAlign w:val="center"/>
          </w:tcPr>
          <w:p w14:paraId="6B306605"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State shall be notified within 24 hours of any production changes that</w:t>
            </w:r>
          </w:p>
          <w:p w14:paraId="3AC6C255"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must be backed out or rereleased within 1 month. Instances shall also be compiled in the Weekly Status Report.</w:t>
            </w:r>
          </w:p>
        </w:tc>
        <w:tc>
          <w:tcPr>
            <w:tcW w:w="1170" w:type="dxa"/>
            <w:shd w:val="clear" w:color="auto" w:fill="auto"/>
            <w:vAlign w:val="center"/>
          </w:tcPr>
          <w:p w14:paraId="7619FBB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5DDB58BA"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42E7B41B" w14:textId="77777777" w:rsidR="00B53DEA" w:rsidRDefault="00B53DEA" w:rsidP="123ED4F6">
            <w:pPr>
              <w:widowControl/>
              <w:rPr>
                <w:rFonts w:ascii="Garamond" w:eastAsia="Garamond" w:hAnsi="Garamond" w:cs="Garamond"/>
                <w:sz w:val="20"/>
                <w:szCs w:val="20"/>
              </w:rPr>
            </w:pPr>
          </w:p>
        </w:tc>
      </w:tr>
      <w:tr w:rsidR="00B53DEA" w14:paraId="3C4E0032" w14:textId="77777777" w:rsidTr="123ED4F6">
        <w:trPr>
          <w:trHeight w:val="588"/>
        </w:trPr>
        <w:tc>
          <w:tcPr>
            <w:tcW w:w="265" w:type="dxa"/>
            <w:vAlign w:val="center"/>
          </w:tcPr>
          <w:p w14:paraId="57F7416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lastRenderedPageBreak/>
              <w:t>10</w:t>
            </w:r>
          </w:p>
        </w:tc>
        <w:tc>
          <w:tcPr>
            <w:tcW w:w="1260" w:type="dxa"/>
            <w:vAlign w:val="center"/>
          </w:tcPr>
          <w:p w14:paraId="439401F3"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Project Close-out Surveys</w:t>
            </w:r>
          </w:p>
        </w:tc>
        <w:tc>
          <w:tcPr>
            <w:tcW w:w="1890" w:type="dxa"/>
            <w:vAlign w:val="center"/>
          </w:tcPr>
          <w:p w14:paraId="201BADB5" w14:textId="77777777" w:rsidR="00B53DEA" w:rsidRDefault="00E913F3" w:rsidP="123ED4F6">
            <w:pPr>
              <w:pStyle w:val="Heading1"/>
              <w:keepLines/>
              <w:tabs>
                <w:tab w:val="left" w:pos="2700"/>
              </w:tab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The Contractor will institute a structured method to actively solicit direct customer satisfaction feedback (including citizens, businesses, and agencies).</w:t>
            </w:r>
            <w:r w:rsidRPr="123ED4F6">
              <w:t xml:space="preserve"> </w:t>
            </w:r>
            <w:r w:rsidRPr="123ED4F6">
              <w:rPr>
                <w:rFonts w:ascii="Garamond" w:eastAsia="Garamond" w:hAnsi="Garamond" w:cs="Garamond"/>
                <w:b w:val="0"/>
                <w:bCs w:val="0"/>
                <w:sz w:val="20"/>
                <w:szCs w:val="20"/>
              </w:rPr>
              <w:t>When discretionary work (SOW/TO) is completed, the Contractor must send out a project close out survey to the client and submit the results of the survey to the State.</w:t>
            </w:r>
          </w:p>
        </w:tc>
        <w:tc>
          <w:tcPr>
            <w:tcW w:w="3420" w:type="dxa"/>
            <w:shd w:val="clear" w:color="auto" w:fill="FFFFFF" w:themeFill="background1"/>
            <w:vAlign w:val="center"/>
          </w:tcPr>
          <w:p w14:paraId="60E3B7D8"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The Contractor shall achieve a 4 or 5 out of 5 rating on 90% of surveys.</w:t>
            </w:r>
          </w:p>
        </w:tc>
        <w:tc>
          <w:tcPr>
            <w:tcW w:w="2250" w:type="dxa"/>
            <w:vAlign w:val="center"/>
          </w:tcPr>
          <w:p w14:paraId="1B10B110"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Takes total responses with a 5 and 4 divided by total number of responses. </w:t>
            </w:r>
          </w:p>
          <w:p w14:paraId="6A657340" w14:textId="77777777" w:rsidR="00B53DEA" w:rsidRDefault="00B53DEA" w:rsidP="123ED4F6">
            <w:pPr>
              <w:widowControl/>
              <w:rPr>
                <w:rFonts w:ascii="Garamond" w:eastAsia="Garamond" w:hAnsi="Garamond" w:cs="Garamond"/>
                <w:i/>
                <w:iCs/>
                <w:sz w:val="20"/>
                <w:szCs w:val="20"/>
              </w:rPr>
            </w:pPr>
          </w:p>
          <w:p w14:paraId="5103402E"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*For this SLA, another algorithm (i.e., a different scale) to measure satisfaction can be suggested in the Offered Enhancement to Min. Service Level column.</w:t>
            </w:r>
          </w:p>
        </w:tc>
        <w:tc>
          <w:tcPr>
            <w:tcW w:w="1530" w:type="dxa"/>
            <w:vAlign w:val="center"/>
          </w:tcPr>
          <w:p w14:paraId="04C20E10"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Close-out survey results will be gathered, analyzed against historical trends, and reported to the State at least every 6 months in a stand-alone deliverable.</w:t>
            </w:r>
          </w:p>
        </w:tc>
        <w:tc>
          <w:tcPr>
            <w:tcW w:w="1170" w:type="dxa"/>
            <w:shd w:val="clear" w:color="auto" w:fill="auto"/>
            <w:vAlign w:val="center"/>
          </w:tcPr>
          <w:p w14:paraId="23A23E20"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223621F3"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11C13654" w14:textId="77777777" w:rsidR="00B53DEA" w:rsidRDefault="00B53DEA" w:rsidP="123ED4F6">
            <w:pPr>
              <w:widowControl/>
              <w:rPr>
                <w:rFonts w:ascii="Garamond" w:eastAsia="Garamond" w:hAnsi="Garamond" w:cs="Garamond"/>
                <w:sz w:val="20"/>
                <w:szCs w:val="20"/>
              </w:rPr>
            </w:pPr>
          </w:p>
        </w:tc>
      </w:tr>
      <w:tr w:rsidR="00B53DEA" w14:paraId="6198E71E" w14:textId="77777777" w:rsidTr="123ED4F6">
        <w:trPr>
          <w:trHeight w:val="588"/>
        </w:trPr>
        <w:tc>
          <w:tcPr>
            <w:tcW w:w="265" w:type="dxa"/>
            <w:vAlign w:val="center"/>
          </w:tcPr>
          <w:p w14:paraId="176A432D"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11</w:t>
            </w:r>
          </w:p>
        </w:tc>
        <w:tc>
          <w:tcPr>
            <w:tcW w:w="1260" w:type="dxa"/>
            <w:vAlign w:val="center"/>
          </w:tcPr>
          <w:p w14:paraId="629FD3F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Support Request Responsiveness</w:t>
            </w:r>
          </w:p>
        </w:tc>
        <w:tc>
          <w:tcPr>
            <w:tcW w:w="1890" w:type="dxa"/>
            <w:vAlign w:val="center"/>
          </w:tcPr>
          <w:p w14:paraId="2894650E" w14:textId="77777777" w:rsidR="00B53DEA" w:rsidRDefault="00E913F3" w:rsidP="123ED4F6">
            <w:pPr>
              <w:pStyle w:val="Heading1"/>
              <w:keepLines/>
              <w:tabs>
                <w:tab w:val="left" w:pos="2700"/>
              </w:tab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The Contractor shall respond to all requests for support in a timely manner. This includes but is not limited to phone calls sent to help desk queues, and online chats.</w:t>
            </w:r>
          </w:p>
        </w:tc>
        <w:tc>
          <w:tcPr>
            <w:tcW w:w="3420" w:type="dxa"/>
            <w:shd w:val="clear" w:color="auto" w:fill="FFFFFF" w:themeFill="background1"/>
            <w:vAlign w:val="center"/>
          </w:tcPr>
          <w:p w14:paraId="5FF5A340"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Acceptable timeframe for an initial non-automated response to all support inquiries for each available channel are: </w:t>
            </w:r>
          </w:p>
          <w:p w14:paraId="6D84ADEE"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Phone Calls (during support hours): All calls answered within 4 minutes</w:t>
            </w:r>
            <w:r w:rsidRPr="123ED4F6">
              <w:t xml:space="preserve"> </w:t>
            </w:r>
          </w:p>
          <w:p w14:paraId="161181F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Emails (during support hours): Email replies acknowledging the request within .5 working day</w:t>
            </w:r>
          </w:p>
          <w:p w14:paraId="38B2C568"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Online Chat: All chat requests acknowledged within 4 minutes</w:t>
            </w:r>
          </w:p>
        </w:tc>
        <w:tc>
          <w:tcPr>
            <w:tcW w:w="2250" w:type="dxa"/>
            <w:vAlign w:val="center"/>
          </w:tcPr>
          <w:p w14:paraId="3D4BEBDE"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t>To be determined with Contractor prior to contract finalization.</w:t>
            </w:r>
          </w:p>
        </w:tc>
        <w:tc>
          <w:tcPr>
            <w:tcW w:w="1530" w:type="dxa"/>
            <w:vAlign w:val="center"/>
          </w:tcPr>
          <w:p w14:paraId="24A46942"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Support Request Responsiveness data will be gathered, analyzed against historical trends, and reported to the State at least every 6 months in a stand-alone deliverable.</w:t>
            </w:r>
          </w:p>
        </w:tc>
        <w:tc>
          <w:tcPr>
            <w:tcW w:w="1170" w:type="dxa"/>
            <w:shd w:val="clear" w:color="auto" w:fill="auto"/>
            <w:vAlign w:val="center"/>
          </w:tcPr>
          <w:p w14:paraId="5266D900"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4E9FAE8A"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5EF7C04B" w14:textId="77777777" w:rsidR="00B53DEA" w:rsidRDefault="00B53DEA" w:rsidP="123ED4F6">
            <w:pPr>
              <w:widowControl/>
              <w:rPr>
                <w:rFonts w:ascii="Garamond" w:eastAsia="Garamond" w:hAnsi="Garamond" w:cs="Garamond"/>
                <w:sz w:val="20"/>
                <w:szCs w:val="20"/>
              </w:rPr>
            </w:pPr>
          </w:p>
        </w:tc>
      </w:tr>
      <w:tr w:rsidR="00B53DEA" w14:paraId="2C79CC2D" w14:textId="77777777" w:rsidTr="123ED4F6">
        <w:trPr>
          <w:trHeight w:val="542"/>
        </w:trPr>
        <w:tc>
          <w:tcPr>
            <w:tcW w:w="265" w:type="dxa"/>
            <w:vAlign w:val="center"/>
          </w:tcPr>
          <w:p w14:paraId="41E75CFD"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12</w:t>
            </w:r>
          </w:p>
        </w:tc>
        <w:tc>
          <w:tcPr>
            <w:tcW w:w="1260" w:type="dxa"/>
            <w:vAlign w:val="center"/>
          </w:tcPr>
          <w:p w14:paraId="63E72FBF"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Reporting Timeliness</w:t>
            </w:r>
          </w:p>
        </w:tc>
        <w:tc>
          <w:tcPr>
            <w:tcW w:w="1890" w:type="dxa"/>
            <w:vAlign w:val="center"/>
          </w:tcPr>
          <w:p w14:paraId="371FAA6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The Contractor shall produce all reports outlined in Scope of Work Section 1.5 in accordance with timeframes outlined in the Contract.</w:t>
            </w:r>
          </w:p>
        </w:tc>
        <w:tc>
          <w:tcPr>
            <w:tcW w:w="3420" w:type="dxa"/>
            <w:shd w:val="clear" w:color="auto" w:fill="FFFFFF" w:themeFill="background1"/>
            <w:vAlign w:val="center"/>
          </w:tcPr>
          <w:p w14:paraId="54D9CA9F"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100% of reports meet the required timeframes outlined in the Contract.</w:t>
            </w:r>
          </w:p>
        </w:tc>
        <w:tc>
          <w:tcPr>
            <w:tcW w:w="2250" w:type="dxa"/>
            <w:vAlign w:val="center"/>
          </w:tcPr>
          <w:p w14:paraId="423F2A5A"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Monthly aggregation of all reports submitted and measured against and required timeframes. </w:t>
            </w:r>
          </w:p>
        </w:tc>
        <w:tc>
          <w:tcPr>
            <w:tcW w:w="1530" w:type="dxa"/>
            <w:vAlign w:val="center"/>
          </w:tcPr>
          <w:p w14:paraId="0C488A74"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Reported to the State as part of the Monthly Performance Report</w:t>
            </w:r>
          </w:p>
        </w:tc>
        <w:tc>
          <w:tcPr>
            <w:tcW w:w="1170" w:type="dxa"/>
            <w:shd w:val="clear" w:color="auto" w:fill="auto"/>
            <w:vAlign w:val="center"/>
          </w:tcPr>
          <w:p w14:paraId="55F429C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12F2B200"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03A35829" w14:textId="77777777" w:rsidR="00B53DEA" w:rsidRDefault="00B53DEA" w:rsidP="123ED4F6">
            <w:pPr>
              <w:widowControl/>
              <w:rPr>
                <w:rFonts w:ascii="Garamond" w:eastAsia="Garamond" w:hAnsi="Garamond" w:cs="Garamond"/>
                <w:sz w:val="20"/>
                <w:szCs w:val="20"/>
              </w:rPr>
            </w:pPr>
          </w:p>
        </w:tc>
      </w:tr>
      <w:tr w:rsidR="00B53DEA" w14:paraId="49907675" w14:textId="77777777" w:rsidTr="123ED4F6">
        <w:trPr>
          <w:trHeight w:val="542"/>
        </w:trPr>
        <w:tc>
          <w:tcPr>
            <w:tcW w:w="265" w:type="dxa"/>
            <w:vAlign w:val="center"/>
          </w:tcPr>
          <w:p w14:paraId="579AA56D"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13</w:t>
            </w:r>
          </w:p>
        </w:tc>
        <w:tc>
          <w:tcPr>
            <w:tcW w:w="1260" w:type="dxa"/>
            <w:vAlign w:val="center"/>
          </w:tcPr>
          <w:p w14:paraId="62C92096"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Reporting Accuracy</w:t>
            </w:r>
          </w:p>
        </w:tc>
        <w:tc>
          <w:tcPr>
            <w:tcW w:w="1890" w:type="dxa"/>
            <w:vAlign w:val="center"/>
          </w:tcPr>
          <w:p w14:paraId="58F3FA19"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The Contractor shall produce all reports outlined in Scope of Work Section 1.5 accurately in accordance with requirements.</w:t>
            </w:r>
          </w:p>
        </w:tc>
        <w:tc>
          <w:tcPr>
            <w:tcW w:w="3420" w:type="dxa"/>
            <w:shd w:val="clear" w:color="auto" w:fill="FFFFFF" w:themeFill="background1"/>
            <w:vAlign w:val="center"/>
          </w:tcPr>
          <w:p w14:paraId="22CE8898"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100% of reports are delivered accurately in accordance with requirements.</w:t>
            </w:r>
          </w:p>
        </w:tc>
        <w:tc>
          <w:tcPr>
            <w:tcW w:w="2250" w:type="dxa"/>
            <w:vAlign w:val="center"/>
          </w:tcPr>
          <w:p w14:paraId="685AFE3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Monthly aggregation of all reports submitted and measured against Contract requirements.</w:t>
            </w:r>
          </w:p>
        </w:tc>
        <w:tc>
          <w:tcPr>
            <w:tcW w:w="1530" w:type="dxa"/>
            <w:vAlign w:val="center"/>
          </w:tcPr>
          <w:p w14:paraId="05D688E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Reported to the State as part of the Monthly Performance Report.</w:t>
            </w:r>
          </w:p>
        </w:tc>
        <w:tc>
          <w:tcPr>
            <w:tcW w:w="1170" w:type="dxa"/>
            <w:shd w:val="clear" w:color="auto" w:fill="auto"/>
            <w:vAlign w:val="center"/>
          </w:tcPr>
          <w:p w14:paraId="124DC282"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4C2BB37E"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4391C071" w14:textId="77777777" w:rsidR="00B53DEA" w:rsidRDefault="00B53DEA" w:rsidP="123ED4F6">
            <w:pPr>
              <w:widowControl/>
              <w:rPr>
                <w:rFonts w:ascii="Garamond" w:eastAsia="Garamond" w:hAnsi="Garamond" w:cs="Garamond"/>
                <w:sz w:val="20"/>
                <w:szCs w:val="20"/>
              </w:rPr>
            </w:pPr>
          </w:p>
        </w:tc>
      </w:tr>
      <w:tr w:rsidR="00B53DEA" w14:paraId="395AB558" w14:textId="77777777" w:rsidTr="123ED4F6">
        <w:trPr>
          <w:trHeight w:val="364"/>
        </w:trPr>
        <w:tc>
          <w:tcPr>
            <w:tcW w:w="265" w:type="dxa"/>
            <w:vAlign w:val="center"/>
          </w:tcPr>
          <w:p w14:paraId="461D4450"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lastRenderedPageBreak/>
              <w:t>14</w:t>
            </w:r>
          </w:p>
        </w:tc>
        <w:tc>
          <w:tcPr>
            <w:tcW w:w="1260" w:type="dxa"/>
            <w:vAlign w:val="center"/>
          </w:tcPr>
          <w:p w14:paraId="6BD29AC9"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Privacy and Security Compliance</w:t>
            </w:r>
          </w:p>
        </w:tc>
        <w:tc>
          <w:tcPr>
            <w:tcW w:w="1890" w:type="dxa"/>
            <w:vAlign w:val="center"/>
          </w:tcPr>
          <w:p w14:paraId="0988F62D" w14:textId="02524942"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The Contractor shall be compliant with federal laws and regulations, Indiana Law and regulations, and standards outlined in Scope of Work Section 1.</w:t>
            </w:r>
            <w:r w:rsidR="000A4908">
              <w:rPr>
                <w:rFonts w:ascii="Garamond" w:eastAsia="Garamond" w:hAnsi="Garamond" w:cs="Garamond"/>
                <w:sz w:val="20"/>
                <w:szCs w:val="20"/>
              </w:rPr>
              <w:t>11</w:t>
            </w:r>
            <w:r w:rsidRPr="123ED4F6">
              <w:rPr>
                <w:rFonts w:ascii="Garamond" w:eastAsia="Garamond" w:hAnsi="Garamond" w:cs="Garamond"/>
                <w:sz w:val="20"/>
                <w:szCs w:val="20"/>
              </w:rPr>
              <w:t>.</w:t>
            </w:r>
          </w:p>
        </w:tc>
        <w:tc>
          <w:tcPr>
            <w:tcW w:w="3420" w:type="dxa"/>
            <w:shd w:val="clear" w:color="auto" w:fill="FFFFFF" w:themeFill="background1"/>
            <w:vAlign w:val="center"/>
          </w:tcPr>
          <w:p w14:paraId="6658D837" w14:textId="40DD7E64"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100% compliance with all federal laws and regulations, Indiana Law and regulations, and standards outlined in Scope of Work Section 1.</w:t>
            </w:r>
            <w:r w:rsidR="000A4908">
              <w:rPr>
                <w:rFonts w:ascii="Garamond" w:eastAsia="Garamond" w:hAnsi="Garamond" w:cs="Garamond"/>
                <w:sz w:val="20"/>
                <w:szCs w:val="20"/>
              </w:rPr>
              <w:t>11</w:t>
            </w:r>
            <w:r w:rsidRPr="123ED4F6">
              <w:rPr>
                <w:rFonts w:ascii="Garamond" w:eastAsia="Garamond" w:hAnsi="Garamond" w:cs="Garamond"/>
                <w:sz w:val="20"/>
                <w:szCs w:val="20"/>
              </w:rPr>
              <w:t>.</w:t>
            </w:r>
          </w:p>
        </w:tc>
        <w:tc>
          <w:tcPr>
            <w:tcW w:w="2250" w:type="dxa"/>
            <w:vAlign w:val="center"/>
          </w:tcPr>
          <w:p w14:paraId="796B94D6"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Any incidents of non-compliance discovered by or reported to the State shall be cured by the Contractor within 30 calendar days upon notice by the State.</w:t>
            </w:r>
          </w:p>
          <w:p w14:paraId="2F39D44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(Repeated failures to cure would be cause for termination of the agreement.)</w:t>
            </w:r>
          </w:p>
        </w:tc>
        <w:tc>
          <w:tcPr>
            <w:tcW w:w="1530" w:type="dxa"/>
            <w:vAlign w:val="center"/>
          </w:tcPr>
          <w:p w14:paraId="5892398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On an incident-by-incident basis </w:t>
            </w:r>
          </w:p>
        </w:tc>
        <w:tc>
          <w:tcPr>
            <w:tcW w:w="1170" w:type="dxa"/>
            <w:shd w:val="clear" w:color="auto" w:fill="auto"/>
            <w:vAlign w:val="center"/>
          </w:tcPr>
          <w:p w14:paraId="7CB4F828"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45A0FEC2"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4C5A256D" w14:textId="77777777" w:rsidR="00B53DEA" w:rsidRDefault="00B53DEA" w:rsidP="123ED4F6">
            <w:pPr>
              <w:widowControl/>
              <w:rPr>
                <w:rFonts w:ascii="Garamond" w:eastAsia="Garamond" w:hAnsi="Garamond" w:cs="Garamond"/>
                <w:sz w:val="20"/>
                <w:szCs w:val="20"/>
              </w:rPr>
            </w:pPr>
          </w:p>
        </w:tc>
      </w:tr>
      <w:tr w:rsidR="00B53DEA" w14:paraId="7495293A" w14:textId="77777777" w:rsidTr="123ED4F6">
        <w:trPr>
          <w:trHeight w:val="58"/>
        </w:trPr>
        <w:tc>
          <w:tcPr>
            <w:tcW w:w="265" w:type="dxa"/>
            <w:vAlign w:val="center"/>
          </w:tcPr>
          <w:p w14:paraId="67EBB646"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15</w:t>
            </w:r>
          </w:p>
        </w:tc>
        <w:tc>
          <w:tcPr>
            <w:tcW w:w="1260" w:type="dxa"/>
            <w:vAlign w:val="center"/>
          </w:tcPr>
          <w:p w14:paraId="58BC9C4E"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Intrusion and Data Breaches</w:t>
            </w:r>
          </w:p>
        </w:tc>
        <w:tc>
          <w:tcPr>
            <w:tcW w:w="1890" w:type="dxa"/>
            <w:vAlign w:val="center"/>
          </w:tcPr>
          <w:p w14:paraId="56C5465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For data breaches and intrusions, the Contractor shall provide as much detail as is available at the time about the nature of any intrusion and shall advise the State of all actions taken to mitigate.</w:t>
            </w:r>
          </w:p>
        </w:tc>
        <w:tc>
          <w:tcPr>
            <w:tcW w:w="3420" w:type="dxa"/>
            <w:shd w:val="clear" w:color="auto" w:fill="FFFFFF" w:themeFill="background1"/>
            <w:vAlign w:val="center"/>
          </w:tcPr>
          <w:p w14:paraId="69291215"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For 100% of data breaches and intrusions, a report with this information shall be delivered within 12 hours.</w:t>
            </w:r>
          </w:p>
        </w:tc>
        <w:tc>
          <w:tcPr>
            <w:tcW w:w="2250" w:type="dxa"/>
            <w:vAlign w:val="center"/>
          </w:tcPr>
          <w:p w14:paraId="67A7A796"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Calculation per incident: time of data breach/intrusion to time of report submittal.</w:t>
            </w:r>
          </w:p>
        </w:tc>
        <w:tc>
          <w:tcPr>
            <w:tcW w:w="1530" w:type="dxa"/>
            <w:vAlign w:val="center"/>
          </w:tcPr>
          <w:p w14:paraId="25D51E47"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On an incident-by-incident basis</w:t>
            </w:r>
          </w:p>
        </w:tc>
        <w:tc>
          <w:tcPr>
            <w:tcW w:w="1170" w:type="dxa"/>
            <w:shd w:val="clear" w:color="auto" w:fill="auto"/>
            <w:vAlign w:val="center"/>
          </w:tcPr>
          <w:p w14:paraId="7BF75C23" w14:textId="77777777" w:rsidR="00B53DEA" w:rsidRDefault="00E913F3" w:rsidP="123ED4F6">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5B969C74"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3BFD0427" w14:textId="77777777" w:rsidR="00B53DEA" w:rsidRDefault="00B53DEA" w:rsidP="123ED4F6">
            <w:pPr>
              <w:widowControl/>
              <w:rPr>
                <w:rFonts w:ascii="Garamond" w:eastAsia="Garamond" w:hAnsi="Garamond" w:cs="Garamond"/>
                <w:sz w:val="20"/>
                <w:szCs w:val="20"/>
              </w:rPr>
            </w:pPr>
          </w:p>
        </w:tc>
      </w:tr>
      <w:tr w:rsidR="00B53DEA" w14:paraId="6E10A0B7" w14:textId="77777777" w:rsidTr="123ED4F6">
        <w:trPr>
          <w:trHeight w:val="58"/>
        </w:trPr>
        <w:tc>
          <w:tcPr>
            <w:tcW w:w="265" w:type="dxa"/>
            <w:vAlign w:val="center"/>
          </w:tcPr>
          <w:p w14:paraId="195B86D7"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16</w:t>
            </w:r>
          </w:p>
        </w:tc>
        <w:tc>
          <w:tcPr>
            <w:tcW w:w="1260" w:type="dxa"/>
            <w:vAlign w:val="center"/>
          </w:tcPr>
          <w:p w14:paraId="6750A7D1"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Disclosure of a Security Breach Protocol</w:t>
            </w:r>
          </w:p>
        </w:tc>
        <w:tc>
          <w:tcPr>
            <w:tcW w:w="1890" w:type="dxa"/>
            <w:vAlign w:val="center"/>
          </w:tcPr>
          <w:p w14:paraId="1C42E23B"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If a security breach occurs and involves information in the possession of the Contractor, the Contractor shall fully comply with the notification and reporting requirements of Indiana Code § 24-4.9. </w:t>
            </w:r>
          </w:p>
        </w:tc>
        <w:tc>
          <w:tcPr>
            <w:tcW w:w="3420" w:type="dxa"/>
            <w:shd w:val="clear" w:color="auto" w:fill="FFFFFF" w:themeFill="background1"/>
            <w:vAlign w:val="center"/>
          </w:tcPr>
          <w:p w14:paraId="4CEDBB16" w14:textId="290AE502"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100% compliance with the protocol of Indiana Code § 24-4.9. and Scope of Work Section 1.</w:t>
            </w:r>
            <w:r w:rsidR="000A4908">
              <w:rPr>
                <w:rFonts w:ascii="Garamond" w:eastAsia="Garamond" w:hAnsi="Garamond" w:cs="Garamond"/>
                <w:sz w:val="20"/>
                <w:szCs w:val="20"/>
              </w:rPr>
              <w:t>11</w:t>
            </w:r>
            <w:r w:rsidRPr="123ED4F6">
              <w:rPr>
                <w:rFonts w:ascii="Garamond" w:eastAsia="Garamond" w:hAnsi="Garamond" w:cs="Garamond"/>
                <w:sz w:val="20"/>
                <w:szCs w:val="20"/>
              </w:rPr>
              <w:t>.12.</w:t>
            </w:r>
          </w:p>
        </w:tc>
        <w:tc>
          <w:tcPr>
            <w:tcW w:w="2250" w:type="dxa"/>
            <w:vAlign w:val="center"/>
          </w:tcPr>
          <w:p w14:paraId="572F2A09" w14:textId="3C18EE8B"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If breach were to occur, documentation proving Contractor followed Indiana Code § 24-4.9. and Scope of Work Section 1.</w:t>
            </w:r>
            <w:r w:rsidR="000A4908">
              <w:rPr>
                <w:rFonts w:ascii="Garamond" w:eastAsia="Garamond" w:hAnsi="Garamond" w:cs="Garamond"/>
                <w:sz w:val="20"/>
                <w:szCs w:val="20"/>
              </w:rPr>
              <w:t>11</w:t>
            </w:r>
            <w:r w:rsidRPr="123ED4F6">
              <w:rPr>
                <w:rFonts w:ascii="Garamond" w:eastAsia="Garamond" w:hAnsi="Garamond" w:cs="Garamond"/>
                <w:sz w:val="20"/>
                <w:szCs w:val="20"/>
              </w:rPr>
              <w:t>.12.</w:t>
            </w:r>
          </w:p>
        </w:tc>
        <w:tc>
          <w:tcPr>
            <w:tcW w:w="1530" w:type="dxa"/>
            <w:vAlign w:val="center"/>
          </w:tcPr>
          <w:p w14:paraId="476C7C74"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On an incident-by-incident basis</w:t>
            </w:r>
          </w:p>
        </w:tc>
        <w:tc>
          <w:tcPr>
            <w:tcW w:w="1170" w:type="dxa"/>
            <w:shd w:val="clear" w:color="auto" w:fill="auto"/>
            <w:vAlign w:val="center"/>
          </w:tcPr>
          <w:p w14:paraId="27EF382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1F4AB525"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10141905" w14:textId="77777777" w:rsidR="00B53DEA" w:rsidRDefault="00B53DEA" w:rsidP="123ED4F6">
            <w:pPr>
              <w:widowControl/>
              <w:rPr>
                <w:rFonts w:ascii="Garamond" w:eastAsia="Garamond" w:hAnsi="Garamond" w:cs="Garamond"/>
                <w:sz w:val="20"/>
                <w:szCs w:val="20"/>
              </w:rPr>
            </w:pPr>
          </w:p>
        </w:tc>
      </w:tr>
      <w:tr w:rsidR="00B53DEA" w14:paraId="7CD934C5" w14:textId="77777777" w:rsidTr="123ED4F6">
        <w:trPr>
          <w:trHeight w:val="1063"/>
        </w:trPr>
        <w:tc>
          <w:tcPr>
            <w:tcW w:w="265" w:type="dxa"/>
            <w:shd w:val="clear" w:color="auto" w:fill="auto"/>
            <w:vAlign w:val="center"/>
          </w:tcPr>
          <w:p w14:paraId="0EF28CC3" w14:textId="77777777" w:rsidR="00B53DEA" w:rsidRDefault="00E913F3" w:rsidP="123ED4F6">
            <w:pPr>
              <w:widowControl/>
              <w:jc w:val="center"/>
              <w:rPr>
                <w:rFonts w:ascii="Garamond" w:eastAsia="Garamond" w:hAnsi="Garamond" w:cs="Garamond"/>
                <w:sz w:val="20"/>
                <w:szCs w:val="20"/>
              </w:rPr>
            </w:pPr>
            <w:r w:rsidRPr="123ED4F6">
              <w:rPr>
                <w:rFonts w:ascii="Garamond" w:eastAsia="Garamond" w:hAnsi="Garamond" w:cs="Garamond"/>
                <w:sz w:val="20"/>
                <w:szCs w:val="20"/>
              </w:rPr>
              <w:t>17</w:t>
            </w:r>
          </w:p>
        </w:tc>
        <w:tc>
          <w:tcPr>
            <w:tcW w:w="1260" w:type="dxa"/>
            <w:shd w:val="clear" w:color="auto" w:fill="auto"/>
            <w:vAlign w:val="center"/>
          </w:tcPr>
          <w:p w14:paraId="0A0EC71F"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Content Change Priority Level</w:t>
            </w:r>
          </w:p>
        </w:tc>
        <w:tc>
          <w:tcPr>
            <w:tcW w:w="1890" w:type="dxa"/>
            <w:shd w:val="clear" w:color="auto" w:fill="auto"/>
            <w:vAlign w:val="center"/>
          </w:tcPr>
          <w:p w14:paraId="73F99F2A" w14:textId="1311F5B9"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The Contractor shall meet the priority level change timeframes listed in Scope of Work Section 1</w:t>
            </w:r>
            <w:r w:rsidR="000A4908">
              <w:rPr>
                <w:rFonts w:ascii="Garamond" w:eastAsia="Garamond" w:hAnsi="Garamond" w:cs="Garamond"/>
                <w:sz w:val="20"/>
                <w:szCs w:val="20"/>
              </w:rPr>
              <w:t>.12.5</w:t>
            </w:r>
            <w:r w:rsidRPr="123ED4F6">
              <w:rPr>
                <w:rFonts w:ascii="Garamond" w:eastAsia="Garamond" w:hAnsi="Garamond" w:cs="Garamond"/>
                <w:sz w:val="20"/>
                <w:szCs w:val="20"/>
              </w:rPr>
              <w:t xml:space="preserve">. </w:t>
            </w:r>
          </w:p>
        </w:tc>
        <w:tc>
          <w:tcPr>
            <w:tcW w:w="3420" w:type="dxa"/>
            <w:shd w:val="clear" w:color="auto" w:fill="auto"/>
            <w:vAlign w:val="center"/>
          </w:tcPr>
          <w:p w14:paraId="4A5C0338"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100% compliance for all content changes defined as high priority. </w:t>
            </w:r>
          </w:p>
          <w:p w14:paraId="46F46A03"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99% compliance for all content changes defined as medium or low priority.</w:t>
            </w:r>
          </w:p>
        </w:tc>
        <w:tc>
          <w:tcPr>
            <w:tcW w:w="2250" w:type="dxa"/>
            <w:shd w:val="clear" w:color="auto" w:fill="auto"/>
            <w:vAlign w:val="center"/>
          </w:tcPr>
          <w:p w14:paraId="2993D9CC"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Calculation per incident: date of request compared to date of content change.</w:t>
            </w:r>
          </w:p>
        </w:tc>
        <w:tc>
          <w:tcPr>
            <w:tcW w:w="1530" w:type="dxa"/>
            <w:shd w:val="clear" w:color="auto" w:fill="auto"/>
            <w:vAlign w:val="center"/>
          </w:tcPr>
          <w:p w14:paraId="28171F62"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On an incident-by-incident basis and reported to the State as part of the Monthly Performance Report.</w:t>
            </w:r>
          </w:p>
        </w:tc>
        <w:tc>
          <w:tcPr>
            <w:tcW w:w="1170" w:type="dxa"/>
            <w:shd w:val="clear" w:color="auto" w:fill="auto"/>
            <w:vAlign w:val="center"/>
          </w:tcPr>
          <w:p w14:paraId="1A1BB5E4" w14:textId="77777777" w:rsidR="00B53DEA" w:rsidRDefault="00E913F3" w:rsidP="123ED4F6">
            <w:pPr>
              <w:widowControl/>
              <w:rPr>
                <w:rFonts w:ascii="Garamond" w:eastAsia="Garamond" w:hAnsi="Garamond" w:cs="Garamond"/>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341DA3A7" w14:textId="77777777" w:rsidR="00B53DEA" w:rsidRDefault="00B53DEA" w:rsidP="123ED4F6">
            <w:pPr>
              <w:widowControl/>
              <w:rPr>
                <w:rFonts w:ascii="Garamond" w:eastAsia="Garamond" w:hAnsi="Garamond" w:cs="Garamond"/>
                <w:sz w:val="20"/>
                <w:szCs w:val="20"/>
              </w:rPr>
            </w:pPr>
          </w:p>
        </w:tc>
        <w:tc>
          <w:tcPr>
            <w:tcW w:w="1800" w:type="dxa"/>
            <w:shd w:val="clear" w:color="auto" w:fill="FFFF99"/>
            <w:vAlign w:val="center"/>
          </w:tcPr>
          <w:p w14:paraId="701BFD81" w14:textId="77777777" w:rsidR="00B53DEA" w:rsidRDefault="00B53DEA" w:rsidP="123ED4F6">
            <w:pPr>
              <w:widowControl/>
              <w:rPr>
                <w:rFonts w:ascii="Garamond" w:eastAsia="Garamond" w:hAnsi="Garamond" w:cs="Garamond"/>
                <w:sz w:val="20"/>
                <w:szCs w:val="20"/>
              </w:rPr>
            </w:pPr>
          </w:p>
        </w:tc>
      </w:tr>
      <w:tr w:rsidR="00B53DEA" w14:paraId="018F48D6" w14:textId="77777777" w:rsidTr="123ED4F6">
        <w:trPr>
          <w:trHeight w:val="1063"/>
        </w:trPr>
        <w:tc>
          <w:tcPr>
            <w:tcW w:w="265" w:type="dxa"/>
            <w:vAlign w:val="center"/>
          </w:tcPr>
          <w:p w14:paraId="33CA73F6" w14:textId="77777777" w:rsidR="00B53DEA" w:rsidRDefault="00E913F3">
            <w:pPr>
              <w:widowControl/>
              <w:jc w:val="center"/>
              <w:rPr>
                <w:rFonts w:ascii="Garamond" w:eastAsia="Garamond" w:hAnsi="Garamond" w:cs="Garamond"/>
                <w:sz w:val="20"/>
                <w:szCs w:val="20"/>
              </w:rPr>
            </w:pPr>
            <w:r>
              <w:rPr>
                <w:rFonts w:ascii="Garamond" w:eastAsia="Garamond" w:hAnsi="Garamond" w:cs="Garamond"/>
                <w:sz w:val="20"/>
                <w:szCs w:val="20"/>
              </w:rPr>
              <w:lastRenderedPageBreak/>
              <w:t>18</w:t>
            </w:r>
          </w:p>
        </w:tc>
        <w:tc>
          <w:tcPr>
            <w:tcW w:w="1260" w:type="dxa"/>
            <w:shd w:val="clear" w:color="auto" w:fill="FFFF99"/>
            <w:vAlign w:val="center"/>
          </w:tcPr>
          <w:p w14:paraId="78CF6AB9" w14:textId="77777777" w:rsidR="00B53DEA" w:rsidRDefault="00B53DEA">
            <w:pPr>
              <w:widowControl/>
              <w:rPr>
                <w:rFonts w:ascii="Garamond" w:eastAsia="Garamond" w:hAnsi="Garamond" w:cs="Garamond"/>
                <w:color w:val="FF0000"/>
                <w:sz w:val="20"/>
                <w:szCs w:val="20"/>
              </w:rPr>
            </w:pPr>
          </w:p>
        </w:tc>
        <w:tc>
          <w:tcPr>
            <w:tcW w:w="1890" w:type="dxa"/>
            <w:shd w:val="clear" w:color="auto" w:fill="FFFF99"/>
            <w:vAlign w:val="center"/>
          </w:tcPr>
          <w:p w14:paraId="483E2A8D" w14:textId="77777777" w:rsidR="00B53DEA" w:rsidRDefault="00B53DEA">
            <w:pPr>
              <w:rPr>
                <w:rFonts w:ascii="Garamond" w:eastAsia="Garamond" w:hAnsi="Garamond" w:cs="Garamond"/>
                <w:color w:val="FF0000"/>
                <w:sz w:val="20"/>
                <w:szCs w:val="20"/>
              </w:rPr>
            </w:pPr>
          </w:p>
        </w:tc>
        <w:tc>
          <w:tcPr>
            <w:tcW w:w="3420" w:type="dxa"/>
            <w:shd w:val="clear" w:color="auto" w:fill="FFFF99"/>
            <w:vAlign w:val="center"/>
          </w:tcPr>
          <w:p w14:paraId="13F33A11" w14:textId="77777777" w:rsidR="00B53DEA" w:rsidRDefault="00B53DEA">
            <w:pPr>
              <w:widowControl/>
              <w:rPr>
                <w:rFonts w:ascii="Garamond" w:eastAsia="Garamond" w:hAnsi="Garamond" w:cs="Garamond"/>
                <w:sz w:val="20"/>
                <w:szCs w:val="20"/>
              </w:rPr>
            </w:pPr>
          </w:p>
        </w:tc>
        <w:tc>
          <w:tcPr>
            <w:tcW w:w="2250" w:type="dxa"/>
            <w:shd w:val="clear" w:color="auto" w:fill="FFFF99"/>
            <w:vAlign w:val="center"/>
          </w:tcPr>
          <w:p w14:paraId="750765A8" w14:textId="77777777" w:rsidR="00B53DEA" w:rsidRDefault="00B53DEA">
            <w:pPr>
              <w:widowControl/>
              <w:rPr>
                <w:rFonts w:ascii="Garamond" w:eastAsia="Garamond" w:hAnsi="Garamond" w:cs="Garamond"/>
                <w:sz w:val="20"/>
                <w:szCs w:val="20"/>
              </w:rPr>
            </w:pPr>
          </w:p>
        </w:tc>
        <w:tc>
          <w:tcPr>
            <w:tcW w:w="1530" w:type="dxa"/>
            <w:shd w:val="clear" w:color="auto" w:fill="FFFF99"/>
            <w:vAlign w:val="center"/>
          </w:tcPr>
          <w:p w14:paraId="37D3C2D0" w14:textId="77777777" w:rsidR="00B53DEA" w:rsidRDefault="00B53DEA">
            <w:pPr>
              <w:widowControl/>
              <w:rPr>
                <w:rFonts w:ascii="Garamond" w:eastAsia="Garamond" w:hAnsi="Garamond" w:cs="Garamond"/>
                <w:sz w:val="20"/>
                <w:szCs w:val="20"/>
              </w:rPr>
            </w:pPr>
          </w:p>
        </w:tc>
        <w:tc>
          <w:tcPr>
            <w:tcW w:w="1170" w:type="dxa"/>
            <w:shd w:val="clear" w:color="auto" w:fill="FFFF99"/>
            <w:vAlign w:val="center"/>
          </w:tcPr>
          <w:p w14:paraId="51E564E0" w14:textId="77777777" w:rsidR="00B53DEA" w:rsidRDefault="00B53DEA">
            <w:pPr>
              <w:widowControl/>
              <w:rPr>
                <w:rFonts w:ascii="Garamond" w:eastAsia="Garamond" w:hAnsi="Garamond" w:cs="Garamond"/>
                <w:color w:val="4472C4"/>
                <w:sz w:val="20"/>
                <w:szCs w:val="20"/>
              </w:rPr>
            </w:pPr>
          </w:p>
        </w:tc>
        <w:tc>
          <w:tcPr>
            <w:tcW w:w="810" w:type="dxa"/>
            <w:shd w:val="clear" w:color="auto" w:fill="FFFF99"/>
            <w:vAlign w:val="center"/>
          </w:tcPr>
          <w:p w14:paraId="685BD1DE" w14:textId="77777777" w:rsidR="00B53DEA" w:rsidRDefault="00B53DEA">
            <w:pPr>
              <w:widowControl/>
              <w:rPr>
                <w:rFonts w:ascii="Garamond" w:eastAsia="Garamond" w:hAnsi="Garamond" w:cs="Garamond"/>
                <w:sz w:val="20"/>
                <w:szCs w:val="20"/>
              </w:rPr>
            </w:pPr>
          </w:p>
        </w:tc>
        <w:tc>
          <w:tcPr>
            <w:tcW w:w="1800" w:type="dxa"/>
            <w:shd w:val="clear" w:color="auto" w:fill="FFFF99"/>
            <w:vAlign w:val="center"/>
          </w:tcPr>
          <w:p w14:paraId="258F3274" w14:textId="77777777" w:rsidR="00B53DEA" w:rsidRDefault="00B53DEA">
            <w:pPr>
              <w:widowControl/>
              <w:rPr>
                <w:rFonts w:ascii="Garamond" w:eastAsia="Garamond" w:hAnsi="Garamond" w:cs="Garamond"/>
                <w:sz w:val="20"/>
                <w:szCs w:val="20"/>
              </w:rPr>
            </w:pPr>
          </w:p>
        </w:tc>
      </w:tr>
      <w:tr w:rsidR="00B53DEA" w14:paraId="3549C6F6" w14:textId="77777777" w:rsidTr="123ED4F6">
        <w:trPr>
          <w:trHeight w:val="1063"/>
        </w:trPr>
        <w:tc>
          <w:tcPr>
            <w:tcW w:w="265" w:type="dxa"/>
            <w:vAlign w:val="center"/>
          </w:tcPr>
          <w:p w14:paraId="70E9F229" w14:textId="77777777" w:rsidR="00B53DEA" w:rsidRDefault="00E913F3">
            <w:pPr>
              <w:widowControl/>
              <w:jc w:val="center"/>
              <w:rPr>
                <w:rFonts w:ascii="Garamond" w:eastAsia="Garamond" w:hAnsi="Garamond" w:cs="Garamond"/>
                <w:sz w:val="20"/>
                <w:szCs w:val="20"/>
              </w:rPr>
            </w:pPr>
            <w:r>
              <w:rPr>
                <w:rFonts w:ascii="Garamond" w:eastAsia="Garamond" w:hAnsi="Garamond" w:cs="Garamond"/>
                <w:sz w:val="20"/>
                <w:szCs w:val="20"/>
              </w:rPr>
              <w:t>19</w:t>
            </w:r>
          </w:p>
        </w:tc>
        <w:tc>
          <w:tcPr>
            <w:tcW w:w="1260" w:type="dxa"/>
            <w:shd w:val="clear" w:color="auto" w:fill="FFFF99"/>
            <w:vAlign w:val="center"/>
          </w:tcPr>
          <w:p w14:paraId="59FC067B" w14:textId="77777777" w:rsidR="00B53DEA" w:rsidRDefault="00B53DEA">
            <w:pPr>
              <w:widowControl/>
              <w:rPr>
                <w:rFonts w:ascii="Garamond" w:eastAsia="Garamond" w:hAnsi="Garamond" w:cs="Garamond"/>
                <w:sz w:val="20"/>
                <w:szCs w:val="20"/>
              </w:rPr>
            </w:pPr>
          </w:p>
        </w:tc>
        <w:tc>
          <w:tcPr>
            <w:tcW w:w="1890" w:type="dxa"/>
            <w:shd w:val="clear" w:color="auto" w:fill="FFFF99"/>
            <w:vAlign w:val="center"/>
          </w:tcPr>
          <w:p w14:paraId="34917E2B" w14:textId="77777777" w:rsidR="00B53DEA" w:rsidRDefault="00B53DEA">
            <w:pPr>
              <w:rPr>
                <w:rFonts w:ascii="Garamond" w:eastAsia="Garamond" w:hAnsi="Garamond" w:cs="Garamond"/>
                <w:sz w:val="20"/>
                <w:szCs w:val="20"/>
              </w:rPr>
            </w:pPr>
          </w:p>
        </w:tc>
        <w:tc>
          <w:tcPr>
            <w:tcW w:w="3420" w:type="dxa"/>
            <w:shd w:val="clear" w:color="auto" w:fill="FFFF99"/>
            <w:vAlign w:val="center"/>
          </w:tcPr>
          <w:p w14:paraId="4CA1F729" w14:textId="77777777" w:rsidR="00B53DEA" w:rsidRDefault="00B53DEA">
            <w:pPr>
              <w:widowControl/>
              <w:rPr>
                <w:rFonts w:ascii="Garamond" w:eastAsia="Garamond" w:hAnsi="Garamond" w:cs="Garamond"/>
                <w:sz w:val="20"/>
                <w:szCs w:val="20"/>
              </w:rPr>
            </w:pPr>
          </w:p>
        </w:tc>
        <w:tc>
          <w:tcPr>
            <w:tcW w:w="2250" w:type="dxa"/>
            <w:shd w:val="clear" w:color="auto" w:fill="FFFF99"/>
            <w:vAlign w:val="center"/>
          </w:tcPr>
          <w:p w14:paraId="7C93BAEE" w14:textId="77777777" w:rsidR="00B53DEA" w:rsidRDefault="00B53DEA">
            <w:pPr>
              <w:widowControl/>
              <w:rPr>
                <w:rFonts w:ascii="Garamond" w:eastAsia="Garamond" w:hAnsi="Garamond" w:cs="Garamond"/>
                <w:sz w:val="20"/>
                <w:szCs w:val="20"/>
              </w:rPr>
            </w:pPr>
          </w:p>
        </w:tc>
        <w:tc>
          <w:tcPr>
            <w:tcW w:w="1530" w:type="dxa"/>
            <w:shd w:val="clear" w:color="auto" w:fill="FFFF99"/>
            <w:vAlign w:val="center"/>
          </w:tcPr>
          <w:p w14:paraId="4A7730E6" w14:textId="77777777" w:rsidR="00B53DEA" w:rsidRDefault="00B53DEA">
            <w:pPr>
              <w:widowControl/>
              <w:rPr>
                <w:rFonts w:ascii="Garamond" w:eastAsia="Garamond" w:hAnsi="Garamond" w:cs="Garamond"/>
                <w:sz w:val="20"/>
                <w:szCs w:val="20"/>
              </w:rPr>
            </w:pPr>
          </w:p>
        </w:tc>
        <w:tc>
          <w:tcPr>
            <w:tcW w:w="1170" w:type="dxa"/>
            <w:shd w:val="clear" w:color="auto" w:fill="FFFF99"/>
            <w:vAlign w:val="center"/>
          </w:tcPr>
          <w:p w14:paraId="599BCBE2" w14:textId="77777777" w:rsidR="00B53DEA" w:rsidRDefault="00B53DEA">
            <w:pPr>
              <w:widowControl/>
              <w:rPr>
                <w:rFonts w:ascii="Garamond" w:eastAsia="Garamond" w:hAnsi="Garamond" w:cs="Garamond"/>
                <w:color w:val="4472C4"/>
                <w:sz w:val="20"/>
                <w:szCs w:val="20"/>
              </w:rPr>
            </w:pPr>
          </w:p>
        </w:tc>
        <w:tc>
          <w:tcPr>
            <w:tcW w:w="810" w:type="dxa"/>
            <w:shd w:val="clear" w:color="auto" w:fill="FFFF99"/>
            <w:vAlign w:val="center"/>
          </w:tcPr>
          <w:p w14:paraId="48E97F42" w14:textId="77777777" w:rsidR="00B53DEA" w:rsidRDefault="00B53DEA">
            <w:pPr>
              <w:widowControl/>
              <w:rPr>
                <w:rFonts w:ascii="Garamond" w:eastAsia="Garamond" w:hAnsi="Garamond" w:cs="Garamond"/>
                <w:sz w:val="20"/>
                <w:szCs w:val="20"/>
              </w:rPr>
            </w:pPr>
          </w:p>
        </w:tc>
        <w:tc>
          <w:tcPr>
            <w:tcW w:w="1800" w:type="dxa"/>
            <w:shd w:val="clear" w:color="auto" w:fill="FFFF99"/>
            <w:vAlign w:val="center"/>
          </w:tcPr>
          <w:p w14:paraId="40C3DEDE" w14:textId="77777777" w:rsidR="00B53DEA" w:rsidRDefault="00B53DEA">
            <w:pPr>
              <w:widowControl/>
              <w:rPr>
                <w:rFonts w:ascii="Garamond" w:eastAsia="Garamond" w:hAnsi="Garamond" w:cs="Garamond"/>
                <w:sz w:val="20"/>
                <w:szCs w:val="20"/>
              </w:rPr>
            </w:pPr>
          </w:p>
        </w:tc>
      </w:tr>
      <w:tr w:rsidR="00B53DEA" w14:paraId="56DC6274"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629CD0" w14:textId="77777777" w:rsidR="00B53DEA" w:rsidRDefault="00E913F3">
            <w:pPr>
              <w:widowControl/>
              <w:rPr>
                <w:rFonts w:ascii="Garamond" w:eastAsia="Garamond" w:hAnsi="Garamond" w:cs="Garamond"/>
                <w:sz w:val="20"/>
                <w:szCs w:val="20"/>
              </w:rPr>
            </w:pPr>
            <w:r>
              <w:rPr>
                <w:rFonts w:ascii="Garamond" w:eastAsia="Garamond" w:hAnsi="Garamond" w:cs="Garamond"/>
                <w:sz w:val="20"/>
                <w:szCs w:val="20"/>
              </w:rPr>
              <w:t>20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6426C269" w14:textId="77777777" w:rsidR="00B53DEA" w:rsidRDefault="00B53DEA">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3DFD10BC" w14:textId="77777777" w:rsidR="00B53DEA" w:rsidRDefault="00B53DEA">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3077C6ED" w14:textId="77777777" w:rsidR="00B53DEA" w:rsidRDefault="00B53DEA">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E1748A3" w14:textId="77777777" w:rsidR="00B53DEA" w:rsidRDefault="00B53DEA">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5E4A8D8C" w14:textId="77777777" w:rsidR="00B53DEA" w:rsidRDefault="00B53DEA">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6D252945" w14:textId="77777777" w:rsidR="00B53DEA" w:rsidRDefault="00B53DEA">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5AD2E1B" w14:textId="77777777" w:rsidR="00B53DEA" w:rsidRDefault="00B53DEA">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1FCEAD55" w14:textId="77777777" w:rsidR="00B53DEA" w:rsidRDefault="00B53DEA">
            <w:pPr>
              <w:widowControl/>
              <w:rPr>
                <w:rFonts w:ascii="Garamond" w:eastAsia="Garamond" w:hAnsi="Garamond" w:cs="Garamond"/>
                <w:sz w:val="20"/>
                <w:szCs w:val="20"/>
              </w:rPr>
            </w:pPr>
          </w:p>
        </w:tc>
      </w:tr>
      <w:tr w:rsidR="00B53DEA" w14:paraId="78EFDB3D"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B9EE68" w14:textId="77777777" w:rsidR="00B53DEA" w:rsidRDefault="00E913F3">
            <w:pPr>
              <w:widowControl/>
              <w:jc w:val="center"/>
              <w:rPr>
                <w:rFonts w:ascii="Garamond" w:eastAsia="Garamond" w:hAnsi="Garamond" w:cs="Garamond"/>
                <w:sz w:val="20"/>
                <w:szCs w:val="20"/>
              </w:rPr>
            </w:pPr>
            <w:r>
              <w:rPr>
                <w:rFonts w:ascii="Garamond" w:eastAsia="Garamond" w:hAnsi="Garamond" w:cs="Garamond"/>
                <w:sz w:val="20"/>
                <w:szCs w:val="20"/>
              </w:rPr>
              <w:t>21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AFBE5B1" w14:textId="77777777" w:rsidR="00B53DEA" w:rsidRDefault="00B53DEA">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CA7B64E" w14:textId="77777777" w:rsidR="00B53DEA" w:rsidRDefault="00B53DEA">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3909A3AE" w14:textId="77777777" w:rsidR="00B53DEA" w:rsidRDefault="00B53DEA">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1D91FC7" w14:textId="77777777" w:rsidR="00B53DEA" w:rsidRDefault="00B53DEA">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1A4FFC4" w14:textId="77777777" w:rsidR="00B53DEA" w:rsidRDefault="00B53DEA">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1F4E04F" w14:textId="77777777" w:rsidR="00B53DEA" w:rsidRDefault="00B53DEA">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5A4E3C4C" w14:textId="77777777" w:rsidR="00B53DEA" w:rsidRDefault="00B53DEA">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66C045B" w14:textId="77777777" w:rsidR="00B53DEA" w:rsidRDefault="00B53DEA">
            <w:pPr>
              <w:widowControl/>
              <w:rPr>
                <w:rFonts w:ascii="Garamond" w:eastAsia="Garamond" w:hAnsi="Garamond" w:cs="Garamond"/>
                <w:sz w:val="20"/>
                <w:szCs w:val="20"/>
              </w:rPr>
            </w:pPr>
          </w:p>
        </w:tc>
      </w:tr>
      <w:tr w:rsidR="00B53DEA" w14:paraId="01813F08"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BABE9B" w14:textId="77777777" w:rsidR="00B53DEA" w:rsidRDefault="00E913F3">
            <w:pPr>
              <w:widowControl/>
              <w:jc w:val="center"/>
              <w:rPr>
                <w:rFonts w:ascii="Garamond" w:eastAsia="Garamond" w:hAnsi="Garamond" w:cs="Garamond"/>
                <w:sz w:val="20"/>
                <w:szCs w:val="20"/>
              </w:rPr>
            </w:pPr>
            <w:r>
              <w:rPr>
                <w:rFonts w:ascii="Garamond" w:eastAsia="Garamond" w:hAnsi="Garamond" w:cs="Garamond"/>
                <w:sz w:val="20"/>
                <w:szCs w:val="20"/>
              </w:rPr>
              <w:t>22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B2EF522" w14:textId="77777777" w:rsidR="00B53DEA" w:rsidRDefault="00B53DEA">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37EF55D" w14:textId="77777777" w:rsidR="00B53DEA" w:rsidRDefault="00B53DEA">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897CCB8" w14:textId="77777777" w:rsidR="00B53DEA" w:rsidRDefault="00B53DEA">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295AA2C" w14:textId="77777777" w:rsidR="00B53DEA" w:rsidRDefault="00B53DEA">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2AE5996" w14:textId="77777777" w:rsidR="00B53DEA" w:rsidRDefault="00B53DEA">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5AFB639" w14:textId="77777777" w:rsidR="00B53DEA" w:rsidRDefault="00B53DEA">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60EE5D61" w14:textId="77777777" w:rsidR="00B53DEA" w:rsidRDefault="00B53DEA">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338146AE" w14:textId="77777777" w:rsidR="00B53DEA" w:rsidRDefault="00B53DEA">
            <w:pPr>
              <w:widowControl/>
              <w:rPr>
                <w:rFonts w:ascii="Garamond" w:eastAsia="Garamond" w:hAnsi="Garamond" w:cs="Garamond"/>
                <w:sz w:val="20"/>
                <w:szCs w:val="20"/>
              </w:rPr>
            </w:pPr>
          </w:p>
        </w:tc>
      </w:tr>
      <w:tr w:rsidR="00B53DEA" w14:paraId="36314B2F"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5BC3C3" w14:textId="77777777" w:rsidR="00B53DEA" w:rsidRDefault="00E913F3">
            <w:pPr>
              <w:widowControl/>
              <w:jc w:val="center"/>
              <w:rPr>
                <w:rFonts w:ascii="Garamond" w:eastAsia="Garamond" w:hAnsi="Garamond" w:cs="Garamond"/>
                <w:sz w:val="20"/>
                <w:szCs w:val="20"/>
              </w:rPr>
            </w:pPr>
            <w:r>
              <w:rPr>
                <w:rFonts w:ascii="Garamond" w:eastAsia="Garamond" w:hAnsi="Garamond" w:cs="Garamond"/>
                <w:sz w:val="20"/>
                <w:szCs w:val="20"/>
              </w:rPr>
              <w:t>23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1971EFFA" w14:textId="77777777" w:rsidR="00B53DEA" w:rsidRDefault="00B53DEA">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3100A7C" w14:textId="77777777" w:rsidR="00B53DEA" w:rsidRDefault="00B53DEA">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596F0785" w14:textId="77777777" w:rsidR="00B53DEA" w:rsidRDefault="00B53DEA">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1380564E" w14:textId="77777777" w:rsidR="00B53DEA" w:rsidRDefault="00B53DEA">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3D7BB1C6" w14:textId="77777777" w:rsidR="00B53DEA" w:rsidRDefault="00B53DEA">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D5FBEB0" w14:textId="77777777" w:rsidR="00B53DEA" w:rsidRDefault="00B53DEA">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6D2343E5" w14:textId="77777777" w:rsidR="00B53DEA" w:rsidRDefault="00B53DEA">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CF09FD9" w14:textId="77777777" w:rsidR="00B53DEA" w:rsidRDefault="00B53DEA">
            <w:pPr>
              <w:widowControl/>
              <w:rPr>
                <w:rFonts w:ascii="Garamond" w:eastAsia="Garamond" w:hAnsi="Garamond" w:cs="Garamond"/>
                <w:sz w:val="20"/>
                <w:szCs w:val="20"/>
              </w:rPr>
            </w:pPr>
          </w:p>
        </w:tc>
      </w:tr>
      <w:tr w:rsidR="00B53DEA" w14:paraId="24DAC843"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1E0D96" w14:textId="77777777" w:rsidR="00B53DEA" w:rsidRDefault="00E913F3">
            <w:pPr>
              <w:widowControl/>
              <w:jc w:val="center"/>
              <w:rPr>
                <w:rFonts w:ascii="Garamond" w:eastAsia="Garamond" w:hAnsi="Garamond" w:cs="Garamond"/>
                <w:sz w:val="20"/>
                <w:szCs w:val="20"/>
              </w:rPr>
            </w:pPr>
            <w:r>
              <w:rPr>
                <w:rFonts w:ascii="Garamond" w:eastAsia="Garamond" w:hAnsi="Garamond" w:cs="Garamond"/>
                <w:sz w:val="20"/>
                <w:szCs w:val="20"/>
              </w:rPr>
              <w:t>24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7FC0038" w14:textId="77777777" w:rsidR="00B53DEA" w:rsidRDefault="00B53DEA">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9A13E2F" w14:textId="77777777" w:rsidR="00B53DEA" w:rsidRDefault="00B53DEA">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9DB62BF" w14:textId="77777777" w:rsidR="00B53DEA" w:rsidRDefault="00B53DEA">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606812C6" w14:textId="77777777" w:rsidR="00B53DEA" w:rsidRDefault="00B53DEA">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13A52A85" w14:textId="77777777" w:rsidR="00B53DEA" w:rsidRDefault="00B53DEA">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25CFC12" w14:textId="77777777" w:rsidR="00B53DEA" w:rsidRDefault="00B53DEA">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43F0A85" w14:textId="77777777" w:rsidR="00B53DEA" w:rsidRDefault="00B53DEA">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1834AD7" w14:textId="77777777" w:rsidR="00B53DEA" w:rsidRDefault="00B53DEA">
            <w:pPr>
              <w:widowControl/>
              <w:rPr>
                <w:rFonts w:ascii="Garamond" w:eastAsia="Garamond" w:hAnsi="Garamond" w:cs="Garamond"/>
                <w:sz w:val="20"/>
                <w:szCs w:val="20"/>
              </w:rPr>
            </w:pPr>
          </w:p>
        </w:tc>
      </w:tr>
      <w:tr w:rsidR="00B53DEA" w14:paraId="679CD44F"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4187FB" w14:textId="77777777" w:rsidR="00B53DEA" w:rsidRDefault="00E913F3">
            <w:pPr>
              <w:widowControl/>
              <w:jc w:val="center"/>
              <w:rPr>
                <w:rFonts w:ascii="Garamond" w:eastAsia="Garamond" w:hAnsi="Garamond" w:cs="Garamond"/>
                <w:sz w:val="20"/>
                <w:szCs w:val="20"/>
              </w:rPr>
            </w:pPr>
            <w:r>
              <w:rPr>
                <w:rFonts w:ascii="Garamond" w:eastAsia="Garamond" w:hAnsi="Garamond" w:cs="Garamond"/>
                <w:sz w:val="20"/>
                <w:szCs w:val="20"/>
              </w:rPr>
              <w:t>25</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50AA521" w14:textId="77777777" w:rsidR="00B53DEA" w:rsidRDefault="00B53DEA">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46DA54E" w14:textId="77777777" w:rsidR="00B53DEA" w:rsidRDefault="00B53DEA">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D6B4B4B" w14:textId="77777777" w:rsidR="00B53DEA" w:rsidRDefault="00B53DEA">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183471A9" w14:textId="77777777" w:rsidR="00B53DEA" w:rsidRDefault="00B53DEA">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EF92C26" w14:textId="77777777" w:rsidR="00B53DEA" w:rsidRDefault="00B53DEA">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81F79C9" w14:textId="77777777" w:rsidR="00B53DEA" w:rsidRDefault="00B53DEA">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5A8FCE8A" w14:textId="77777777" w:rsidR="00B53DEA" w:rsidRDefault="00B53DEA">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59F358A7" w14:textId="77777777" w:rsidR="00B53DEA" w:rsidRDefault="00B53DEA">
            <w:pPr>
              <w:widowControl/>
              <w:rPr>
                <w:rFonts w:ascii="Garamond" w:eastAsia="Garamond" w:hAnsi="Garamond" w:cs="Garamond"/>
                <w:sz w:val="20"/>
                <w:szCs w:val="20"/>
              </w:rPr>
            </w:pPr>
          </w:p>
        </w:tc>
      </w:tr>
    </w:tbl>
    <w:p w14:paraId="0689CC25" w14:textId="77777777" w:rsidR="00B53DEA" w:rsidRDefault="00B53DEA">
      <w:pPr>
        <w:rPr>
          <w:rFonts w:ascii="Garamond" w:eastAsia="Garamond" w:hAnsi="Garamond" w:cs="Garamond"/>
          <w:sz w:val="20"/>
          <w:szCs w:val="20"/>
        </w:rPr>
      </w:pPr>
    </w:p>
    <w:p w14:paraId="6F695B10" w14:textId="77777777" w:rsidR="00B53DEA" w:rsidRDefault="00B53DEA">
      <w:pPr>
        <w:rPr>
          <w:rFonts w:ascii="Garamond" w:eastAsia="Garamond" w:hAnsi="Garamond" w:cs="Garamond"/>
          <w:sz w:val="20"/>
          <w:szCs w:val="20"/>
        </w:rPr>
      </w:pPr>
    </w:p>
    <w:sectPr w:rsidR="00B53DEA">
      <w:footerReference w:type="default" r:id="rId10"/>
      <w:pgSz w:w="15840" w:h="1224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65536" w14:textId="77777777" w:rsidR="005F3F8D" w:rsidRDefault="005F3F8D">
      <w:r>
        <w:separator/>
      </w:r>
    </w:p>
  </w:endnote>
  <w:endnote w:type="continuationSeparator" w:id="0">
    <w:p w14:paraId="45C647ED" w14:textId="77777777" w:rsidR="005F3F8D" w:rsidRDefault="005F3F8D">
      <w:r>
        <w:continuationSeparator/>
      </w:r>
    </w:p>
  </w:endnote>
  <w:endnote w:type="continuationNotice" w:id="1">
    <w:p w14:paraId="4E41AA01" w14:textId="77777777" w:rsidR="005F3F8D" w:rsidRDefault="005F3F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Yu Gothic"/>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BDA5F" w14:textId="77777777" w:rsidR="00B53DEA" w:rsidRDefault="00E913F3">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E62555">
      <w:rPr>
        <w:noProof/>
        <w:color w:val="000000"/>
      </w:rPr>
      <w:t>1</w:t>
    </w:r>
    <w:r>
      <w:rPr>
        <w:color w:val="000000"/>
      </w:rPr>
      <w:fldChar w:fldCharType="end"/>
    </w:r>
  </w:p>
  <w:p w14:paraId="5715583C" w14:textId="77777777" w:rsidR="00B53DEA" w:rsidRDefault="00B53DE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9520E" w14:textId="77777777" w:rsidR="005F3F8D" w:rsidRDefault="005F3F8D">
      <w:r>
        <w:separator/>
      </w:r>
    </w:p>
  </w:footnote>
  <w:footnote w:type="continuationSeparator" w:id="0">
    <w:p w14:paraId="54FE730B" w14:textId="77777777" w:rsidR="005F3F8D" w:rsidRDefault="005F3F8D">
      <w:r>
        <w:continuationSeparator/>
      </w:r>
    </w:p>
  </w:footnote>
  <w:footnote w:type="continuationNotice" w:id="1">
    <w:p w14:paraId="797EB6F9" w14:textId="77777777" w:rsidR="005F3F8D" w:rsidRDefault="005F3F8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DAzsrQ0NDKyMDKyNDZX0lEKTi0uzszPAykwqgUAaRctuSwAAAA="/>
  </w:docVars>
  <w:rsids>
    <w:rsidRoot w:val="00B53DEA"/>
    <w:rsid w:val="00032971"/>
    <w:rsid w:val="000A4908"/>
    <w:rsid w:val="001313FA"/>
    <w:rsid w:val="00135694"/>
    <w:rsid w:val="00155A96"/>
    <w:rsid w:val="00377BCD"/>
    <w:rsid w:val="00393B7B"/>
    <w:rsid w:val="003C0DCD"/>
    <w:rsid w:val="004C1010"/>
    <w:rsid w:val="005540EB"/>
    <w:rsid w:val="00582D31"/>
    <w:rsid w:val="005F3F8D"/>
    <w:rsid w:val="007141BD"/>
    <w:rsid w:val="007558BD"/>
    <w:rsid w:val="00772E76"/>
    <w:rsid w:val="007E6F54"/>
    <w:rsid w:val="00862205"/>
    <w:rsid w:val="00901390"/>
    <w:rsid w:val="009915D6"/>
    <w:rsid w:val="009E245F"/>
    <w:rsid w:val="00A5153F"/>
    <w:rsid w:val="00B53DEA"/>
    <w:rsid w:val="00BC6448"/>
    <w:rsid w:val="00C86394"/>
    <w:rsid w:val="00D0015C"/>
    <w:rsid w:val="00D13C58"/>
    <w:rsid w:val="00D27EB4"/>
    <w:rsid w:val="00E13A93"/>
    <w:rsid w:val="00E37D24"/>
    <w:rsid w:val="00E62555"/>
    <w:rsid w:val="00E86D18"/>
    <w:rsid w:val="00E913F3"/>
    <w:rsid w:val="00ED6D2F"/>
    <w:rsid w:val="00F440E4"/>
    <w:rsid w:val="00F4486D"/>
    <w:rsid w:val="00FA796C"/>
    <w:rsid w:val="02E331D2"/>
    <w:rsid w:val="035193CE"/>
    <w:rsid w:val="08B11B0D"/>
    <w:rsid w:val="107D150D"/>
    <w:rsid w:val="10A3CAAE"/>
    <w:rsid w:val="123ED4F6"/>
    <w:rsid w:val="15CA565C"/>
    <w:rsid w:val="20187DAA"/>
    <w:rsid w:val="25E53691"/>
    <w:rsid w:val="27FF2BC0"/>
    <w:rsid w:val="293683E1"/>
    <w:rsid w:val="2D19545E"/>
    <w:rsid w:val="2D8E60E7"/>
    <w:rsid w:val="2EDE200E"/>
    <w:rsid w:val="33A4CBDE"/>
    <w:rsid w:val="34655468"/>
    <w:rsid w:val="35DDB666"/>
    <w:rsid w:val="3A4CA147"/>
    <w:rsid w:val="3E6120FC"/>
    <w:rsid w:val="4039DABB"/>
    <w:rsid w:val="4601C39E"/>
    <w:rsid w:val="468E35EE"/>
    <w:rsid w:val="4C48E936"/>
    <w:rsid w:val="4DE34CDA"/>
    <w:rsid w:val="51360E6B"/>
    <w:rsid w:val="5267587D"/>
    <w:rsid w:val="5490FC8D"/>
    <w:rsid w:val="589E7288"/>
    <w:rsid w:val="5A1DA7AD"/>
    <w:rsid w:val="5C4EF827"/>
    <w:rsid w:val="60CE64D6"/>
    <w:rsid w:val="669676EB"/>
    <w:rsid w:val="6C667538"/>
    <w:rsid w:val="6C89629F"/>
    <w:rsid w:val="739EEEA2"/>
    <w:rsid w:val="792B49D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2F066"/>
  <w15:docId w15:val="{A4AF017D-0E38-4F4A-A01C-E5FCC1ED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C6F"/>
    <w:rPr>
      <w:snapToGrid w:val="0"/>
    </w:rPr>
  </w:style>
  <w:style w:type="paragraph" w:styleId="Heading1">
    <w:name w:val="heading 1"/>
    <w:basedOn w:val="Normal"/>
    <w:next w:val="Normal"/>
    <w:link w:val="Heading1Char"/>
    <w:uiPriority w:val="9"/>
    <w:qFormat/>
    <w:rsid w:val="00CF561E"/>
    <w:pPr>
      <w:keepNext/>
      <w:widowControl/>
      <w:spacing w:before="240" w:after="60"/>
      <w:outlineLvl w:val="0"/>
    </w:pPr>
    <w:rPr>
      <w:rFonts w:ascii="Cambria" w:hAnsi="Cambria"/>
      <w:b/>
      <w:bCs/>
      <w:snapToGrid/>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rsid w:val="00387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561E"/>
    <w:rPr>
      <w:rFonts w:ascii="Cambria" w:hAnsi="Cambria"/>
      <w:b/>
      <w:bCs/>
      <w:kern w:val="32"/>
      <w:sz w:val="32"/>
      <w:szCs w:val="32"/>
    </w:rPr>
  </w:style>
  <w:style w:type="character" w:styleId="CommentReference">
    <w:name w:val="annotation reference"/>
    <w:basedOn w:val="DefaultParagraphFont"/>
    <w:uiPriority w:val="99"/>
    <w:semiHidden/>
    <w:unhideWhenUsed/>
    <w:rsid w:val="001841BB"/>
    <w:rPr>
      <w:sz w:val="16"/>
      <w:szCs w:val="16"/>
    </w:rPr>
  </w:style>
  <w:style w:type="paragraph" w:styleId="CommentText">
    <w:name w:val="annotation text"/>
    <w:basedOn w:val="Normal"/>
    <w:link w:val="CommentTextChar"/>
    <w:uiPriority w:val="99"/>
    <w:unhideWhenUsed/>
    <w:rsid w:val="001841BB"/>
    <w:rPr>
      <w:sz w:val="20"/>
    </w:rPr>
  </w:style>
  <w:style w:type="character" w:customStyle="1" w:styleId="CommentTextChar">
    <w:name w:val="Comment Text Char"/>
    <w:basedOn w:val="DefaultParagraphFont"/>
    <w:link w:val="CommentText"/>
    <w:uiPriority w:val="99"/>
    <w:rsid w:val="001841BB"/>
    <w:rPr>
      <w:rFonts w:ascii="Courier" w:hAnsi="Courier"/>
      <w:snapToGrid w:val="0"/>
    </w:rPr>
  </w:style>
  <w:style w:type="paragraph" w:styleId="ListParagraph">
    <w:name w:val="List Paragraph"/>
    <w:basedOn w:val="Normal"/>
    <w:uiPriority w:val="34"/>
    <w:qFormat/>
    <w:rsid w:val="001841BB"/>
    <w:pPr>
      <w:widowControl/>
      <w:ind w:left="720"/>
      <w:contextualSpacing/>
    </w:pPr>
    <w:rPr>
      <w:rFonts w:ascii="Arial Narrow" w:eastAsia="Calibri" w:hAnsi="Arial Narrow"/>
      <w:snapToGrid/>
      <w:sz w:val="22"/>
      <w:szCs w:val="22"/>
    </w:rPr>
  </w:style>
  <w:style w:type="paragraph" w:styleId="BalloonText">
    <w:name w:val="Balloon Text"/>
    <w:basedOn w:val="Normal"/>
    <w:link w:val="BalloonTextChar"/>
    <w:uiPriority w:val="99"/>
    <w:semiHidden/>
    <w:unhideWhenUsed/>
    <w:rsid w:val="001841BB"/>
    <w:rPr>
      <w:rFonts w:ascii="Tahoma" w:hAnsi="Tahoma" w:cs="Tahoma"/>
      <w:sz w:val="16"/>
      <w:szCs w:val="16"/>
    </w:rPr>
  </w:style>
  <w:style w:type="character" w:customStyle="1" w:styleId="BalloonTextChar">
    <w:name w:val="Balloon Text Char"/>
    <w:basedOn w:val="DefaultParagraphFont"/>
    <w:link w:val="BalloonText"/>
    <w:uiPriority w:val="99"/>
    <w:semiHidden/>
    <w:rsid w:val="001841BB"/>
    <w:rPr>
      <w:rFonts w:ascii="Tahoma" w:hAnsi="Tahoma" w:cs="Tahoma"/>
      <w:snapToGrid w:val="0"/>
      <w:sz w:val="16"/>
      <w:szCs w:val="16"/>
    </w:rPr>
  </w:style>
  <w:style w:type="paragraph" w:styleId="Header">
    <w:name w:val="header"/>
    <w:basedOn w:val="Normal"/>
    <w:link w:val="HeaderChar"/>
    <w:uiPriority w:val="99"/>
    <w:semiHidden/>
    <w:unhideWhenUsed/>
    <w:rsid w:val="0068685C"/>
    <w:pPr>
      <w:tabs>
        <w:tab w:val="center" w:pos="4680"/>
        <w:tab w:val="right" w:pos="9360"/>
      </w:tabs>
    </w:pPr>
  </w:style>
  <w:style w:type="character" w:customStyle="1" w:styleId="HeaderChar">
    <w:name w:val="Header Char"/>
    <w:basedOn w:val="DefaultParagraphFont"/>
    <w:link w:val="Header"/>
    <w:uiPriority w:val="99"/>
    <w:semiHidden/>
    <w:rsid w:val="0068685C"/>
    <w:rPr>
      <w:rFonts w:ascii="Courier" w:hAnsi="Courier"/>
      <w:snapToGrid w:val="0"/>
      <w:sz w:val="24"/>
    </w:rPr>
  </w:style>
  <w:style w:type="paragraph" w:styleId="Footer">
    <w:name w:val="footer"/>
    <w:basedOn w:val="Normal"/>
    <w:link w:val="FooterChar"/>
    <w:uiPriority w:val="99"/>
    <w:unhideWhenUsed/>
    <w:rsid w:val="0068685C"/>
    <w:pPr>
      <w:tabs>
        <w:tab w:val="center" w:pos="4680"/>
        <w:tab w:val="right" w:pos="9360"/>
      </w:tabs>
    </w:pPr>
  </w:style>
  <w:style w:type="character" w:customStyle="1" w:styleId="FooterChar">
    <w:name w:val="Footer Char"/>
    <w:basedOn w:val="DefaultParagraphFont"/>
    <w:link w:val="Footer"/>
    <w:uiPriority w:val="99"/>
    <w:rsid w:val="0068685C"/>
    <w:rPr>
      <w:rFonts w:ascii="Courier" w:hAnsi="Courier"/>
      <w:snapToGrid w:val="0"/>
      <w:sz w:val="24"/>
    </w:rPr>
  </w:style>
  <w:style w:type="paragraph" w:styleId="CommentSubject">
    <w:name w:val="annotation subject"/>
    <w:basedOn w:val="CommentText"/>
    <w:next w:val="CommentText"/>
    <w:link w:val="CommentSubjectChar"/>
    <w:uiPriority w:val="99"/>
    <w:semiHidden/>
    <w:unhideWhenUsed/>
    <w:rsid w:val="00400B4C"/>
    <w:rPr>
      <w:b/>
      <w:bCs/>
    </w:rPr>
  </w:style>
  <w:style w:type="character" w:customStyle="1" w:styleId="CommentSubjectChar">
    <w:name w:val="Comment Subject Char"/>
    <w:basedOn w:val="CommentTextChar"/>
    <w:link w:val="CommentSubject"/>
    <w:uiPriority w:val="99"/>
    <w:semiHidden/>
    <w:rsid w:val="00400B4C"/>
    <w:rPr>
      <w:rFonts w:ascii="Courier" w:hAnsi="Courier"/>
      <w:b/>
      <w:bCs/>
      <w:snapToGrid w:val="0"/>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Revision">
    <w:name w:val="Revision"/>
    <w:hidden/>
    <w:uiPriority w:val="99"/>
    <w:semiHidden/>
    <w:rsid w:val="001313FA"/>
    <w:pPr>
      <w:widowControl/>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axDjPi9pkDug8+/sdM2fkda0Q==">AMUW2mXLulwyAYuAG25SM26pendLQkaP7CsqS8Y+04Q4n2J17od5YwjoP162uVuNLnG1B9p/JNz0sMiJdNCs4SqohqWnI41BemRPpDWgZeuqZ9MW64RswOk=</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2" ma:contentTypeDescription="Create a new document." ma:contentTypeScope="" ma:versionID="b4683e393f15e403aca278ae66d051e1">
  <xsd:schema xmlns:xsd="http://www.w3.org/2001/XMLSchema" xmlns:xs="http://www.w3.org/2001/XMLSchema" xmlns:p="http://schemas.microsoft.com/office/2006/metadata/properties" xmlns:ns2="87cef3ad-7b4e-42c7-a314-fa0ef067c77c" targetNamespace="http://schemas.microsoft.com/office/2006/metadata/properties" ma:root="true" ma:fieldsID="5deb6abd5bfd0da1a7d054506485b76a" ns2:_="">
    <xsd:import namespace="87cef3ad-7b4e-42c7-a314-fa0ef067c77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34D8350-D6BF-421C-8C5E-CFCC5AE62957}">
  <ds:schemaRefs>
    <ds:schemaRef ds:uri="http://schemas.microsoft.com/sharepoint/v3/contenttype/forms"/>
  </ds:schemaRefs>
</ds:datastoreItem>
</file>

<file path=customXml/itemProps3.xml><?xml version="1.0" encoding="utf-8"?>
<ds:datastoreItem xmlns:ds="http://schemas.openxmlformats.org/officeDocument/2006/customXml" ds:itemID="{4CD9CE5E-DE18-429D-B053-FFC3415B37A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340695-89F2-4B3B-A693-F1564ED9BA53}"/>
</file>

<file path=docProps/app.xml><?xml version="1.0" encoding="utf-8"?>
<Properties xmlns="http://schemas.openxmlformats.org/officeDocument/2006/extended-properties" xmlns:vt="http://schemas.openxmlformats.org/officeDocument/2006/docPropsVTypes">
  <Template>Normal</Template>
  <TotalTime>1</TotalTime>
  <Pages>7</Pages>
  <Words>1868</Words>
  <Characters>10649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Robertson</dc:creator>
  <cp:keywords/>
  <cp:lastModifiedBy>JS</cp:lastModifiedBy>
  <cp:revision>3</cp:revision>
  <dcterms:created xsi:type="dcterms:W3CDTF">2023-07-20T14:31:00Z</dcterms:created>
  <dcterms:modified xsi:type="dcterms:W3CDTF">2023-07-20T14:31:00Z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Order">
    <vt:r8>10500</vt:r8>
  </property>
  <property fmtid="{D5CDD505-2E9C-101B-9397-08002B2CF9AE}" pid="4" name="ComplianceAssetId">
    <vt:lpwstr/>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_ColorTag">
    <vt:lpwstr/>
  </property>
  <property fmtid="{D5CDD505-2E9C-101B-9397-08002B2CF9AE}" pid="9" name="TriggerFlowInfo">
    <vt:lpwstr/>
  </property>
  <property fmtid="{D5CDD505-2E9C-101B-9397-08002B2CF9AE}" pid="10" name="_SourceUrl">
    <vt:lpwstr/>
  </property>
  <property fmtid="{D5CDD505-2E9C-101B-9397-08002B2CF9AE}" pid="11" name="_SharedFileIndex">
    <vt:lpwstr/>
  </property>
  <property fmtid="{D5CDD505-2E9C-101B-9397-08002B2CF9AE}" pid="12" name="_ColorHex">
    <vt:lpwstr/>
  </property>
  <property fmtid="{D5CDD505-2E9C-101B-9397-08002B2CF9AE}" pid="13" name="_Emoji">
    <vt:lpwstr/>
  </property>
  <property fmtid="{D5CDD505-2E9C-101B-9397-08002B2CF9AE}" pid="14" name="TemplateUrl">
    <vt:lpwstr/>
  </property>
</Properties>
</file>